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D2" w:rsidRPr="00733878" w:rsidRDefault="00733878" w:rsidP="00733878">
      <w:pPr>
        <w:pStyle w:val="DOB1"/>
        <w:rPr>
          <w:rFonts w:eastAsia="Calibri"/>
        </w:rPr>
      </w:pPr>
      <w:r w:rsidRPr="00733878">
        <w:t>Entity Name:</w:t>
      </w:r>
      <w:r w:rsidR="00963DD2" w:rsidRPr="00733878">
        <w:rPr>
          <w:rFonts w:eastAsia="Calibri"/>
        </w:rPr>
        <w:tab/>
        <w:t xml:space="preserve">Prepared by: </w:t>
      </w:r>
    </w:p>
    <w:p w:rsidR="00963DD2" w:rsidRPr="00733878" w:rsidRDefault="0071473D" w:rsidP="00733878">
      <w:pPr>
        <w:pStyle w:val="DOB2"/>
      </w:pPr>
      <w:r>
        <w:t>NMLS/</w:t>
      </w:r>
      <w:r w:rsidR="00963DD2" w:rsidRPr="00733878">
        <w:t xml:space="preserve">License Number: </w:t>
      </w:r>
      <w:r w:rsidR="002A6F3B" w:rsidRPr="00733878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63DD2" w:rsidRPr="00733878">
        <w:instrText xml:space="preserve"> FORMTEXT </w:instrText>
      </w:r>
      <w:r w:rsidR="002A6F3B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2A6F3B" w:rsidRPr="00733878">
        <w:fldChar w:fldCharType="end"/>
      </w:r>
      <w:r w:rsidR="00963DD2" w:rsidRPr="00733878">
        <w:tab/>
        <w:t xml:space="preserve">Date: </w:t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963DD2" w:rsidRPr="00963DD2" w:rsidTr="005309C7">
        <w:tc>
          <w:tcPr>
            <w:tcW w:w="13158" w:type="dxa"/>
          </w:tcPr>
          <w:p w:rsidR="00963DD2" w:rsidRPr="005E2DF9" w:rsidRDefault="00963DD2" w:rsidP="00963DD2">
            <w:pPr>
              <w:rPr>
                <w:b/>
                <w:szCs w:val="24"/>
              </w:rPr>
            </w:pPr>
          </w:p>
        </w:tc>
      </w:tr>
    </w:tbl>
    <w:p w:rsidR="000959A5" w:rsidRPr="00596560" w:rsidRDefault="00D80024" w:rsidP="00D80024">
      <w:pPr>
        <w:rPr>
          <w:rFonts w:ascii="Calibri" w:hAnsi="Calibri" w:cs="Calibri"/>
          <w:szCs w:val="24"/>
        </w:rPr>
      </w:pPr>
      <w:r w:rsidRPr="00596560">
        <w:rPr>
          <w:rFonts w:ascii="Calibri" w:hAnsi="Calibri" w:cs="Calibri"/>
          <w:szCs w:val="24"/>
        </w:rPr>
        <w:t>Examiners should use this template to evaluate the entity’s compliance management system.</w:t>
      </w:r>
      <w:r w:rsidR="00793160" w:rsidRPr="00596560">
        <w:rPr>
          <w:rFonts w:ascii="Calibri" w:hAnsi="Calibri" w:cs="Calibri"/>
          <w:szCs w:val="24"/>
        </w:rPr>
        <w:t xml:space="preserve"> </w:t>
      </w:r>
      <w:r w:rsidRPr="00596560">
        <w:rPr>
          <w:rFonts w:ascii="Calibri" w:hAnsi="Calibri" w:cs="Calibri"/>
          <w:szCs w:val="24"/>
        </w:rPr>
        <w:t xml:space="preserve">The review should cover the items listed below (and </w:t>
      </w:r>
      <w:r w:rsidR="002D3FFB" w:rsidRPr="00596560">
        <w:rPr>
          <w:rFonts w:ascii="Calibri" w:hAnsi="Calibri" w:cs="Calibri"/>
          <w:szCs w:val="24"/>
        </w:rPr>
        <w:t xml:space="preserve">detailed </w:t>
      </w:r>
      <w:r w:rsidRPr="00596560">
        <w:rPr>
          <w:rFonts w:ascii="Calibri" w:hAnsi="Calibri" w:cs="Calibri"/>
          <w:szCs w:val="24"/>
        </w:rPr>
        <w:t>on the following pages) that are the common elements of an effective compliance management program.</w:t>
      </w:r>
    </w:p>
    <w:p w:rsidR="0002393E" w:rsidRPr="00596560" w:rsidRDefault="002A6F3B" w:rsidP="0002393E">
      <w:pPr>
        <w:pStyle w:val="TOC1"/>
        <w:spacing w:after="576"/>
        <w:rPr>
          <w:rFonts w:ascii="Calibri" w:hAnsi="Calibri" w:cs="Calibri"/>
          <w:noProof/>
        </w:rPr>
      </w:pPr>
      <w:r w:rsidRPr="00596560">
        <w:rPr>
          <w:rFonts w:ascii="Calibri" w:hAnsi="Calibri" w:cs="Calibri"/>
          <w:szCs w:val="24"/>
        </w:rPr>
        <w:fldChar w:fldCharType="begin"/>
      </w:r>
      <w:r w:rsidR="0002393E" w:rsidRPr="00596560">
        <w:rPr>
          <w:rFonts w:ascii="Calibri" w:hAnsi="Calibri" w:cs="Calibri"/>
          <w:szCs w:val="24"/>
        </w:rPr>
        <w:instrText xml:space="preserve"> TOC \o "1-1" \h \z \u </w:instrText>
      </w:r>
      <w:r w:rsidRPr="00596560">
        <w:rPr>
          <w:rFonts w:ascii="Calibri" w:hAnsi="Calibri" w:cs="Calibri"/>
          <w:szCs w:val="24"/>
        </w:rPr>
        <w:fldChar w:fldCharType="separate"/>
      </w:r>
    </w:p>
    <w:p w:rsidR="0002393E" w:rsidRDefault="006A20BA" w:rsidP="0002393E">
      <w:pPr>
        <w:pStyle w:val="TOC1"/>
        <w:spacing w:after="576"/>
        <w:rPr>
          <w:rFonts w:ascii="Calibri" w:hAnsi="Calibri" w:cs="Calibri"/>
        </w:rPr>
      </w:pPr>
      <w:hyperlink w:anchor="_Toc322683954" w:history="1">
        <w:r w:rsidR="007C39BB" w:rsidRPr="00E7711A">
          <w:rPr>
            <w:rStyle w:val="Hyperlink"/>
            <w:rFonts w:ascii="Calibri" w:hAnsi="Calibri" w:cs="Calibri"/>
            <w:noProof/>
            <w:color w:val="auto"/>
          </w:rPr>
          <w:t>I</w:t>
        </w:r>
        <w:r w:rsidR="0002393E" w:rsidRPr="00E7711A">
          <w:rPr>
            <w:rStyle w:val="Hyperlink"/>
            <w:rFonts w:ascii="Calibri" w:hAnsi="Calibri" w:cs="Calibri"/>
            <w:noProof/>
            <w:color w:val="auto"/>
          </w:rPr>
          <w:t>.</w:t>
        </w:r>
        <w:r w:rsidR="0002393E" w:rsidRPr="00E7711A">
          <w:rPr>
            <w:rFonts w:ascii="Calibri" w:hAnsi="Calibri" w:cs="Calibri"/>
            <w:noProof/>
          </w:rPr>
          <w:tab/>
        </w:r>
        <w:r w:rsidR="00293F78">
          <w:rPr>
            <w:rStyle w:val="Hyperlink"/>
            <w:rFonts w:ascii="Calibri" w:hAnsi="Calibri" w:cs="Calibri"/>
            <w:noProof/>
            <w:color w:val="auto"/>
          </w:rPr>
          <w:t>Compliance Audit</w:t>
        </w:r>
        <w:r w:rsidR="0002393E" w:rsidRPr="00E7711A">
          <w:rPr>
            <w:rFonts w:ascii="Calibri" w:hAnsi="Calibri" w:cs="Calibri"/>
            <w:noProof/>
            <w:webHidden/>
          </w:rPr>
          <w:tab/>
        </w:r>
        <w:r w:rsidR="002A6F3B" w:rsidRPr="00E7711A">
          <w:rPr>
            <w:rFonts w:ascii="Calibri" w:hAnsi="Calibri" w:cs="Calibri"/>
          </w:rP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8F6D98" w:rsidRPr="00E7711A">
          <w:rPr>
            <w:rFonts w:ascii="Calibri" w:hAnsi="Calibri" w:cs="Calibri"/>
          </w:rPr>
          <w:instrText xml:space="preserve"> FORMTEXT </w:instrText>
        </w:r>
        <w:r w:rsidR="002A6F3B" w:rsidRPr="00E7711A">
          <w:rPr>
            <w:rFonts w:ascii="Calibri" w:hAnsi="Calibri" w:cs="Calibri"/>
          </w:rPr>
        </w:r>
        <w:r w:rsidR="002A6F3B" w:rsidRPr="00E7711A">
          <w:rPr>
            <w:rFonts w:ascii="Calibri" w:hAnsi="Calibri" w:cs="Calibri"/>
          </w:rPr>
          <w:fldChar w:fldCharType="separate"/>
        </w:r>
        <w:r w:rsidR="008F6D98" w:rsidRPr="00E7711A">
          <w:rPr>
            <w:rFonts w:ascii="Calibri" w:hAnsi="Calibri" w:cs="Calibri"/>
            <w:noProof/>
          </w:rPr>
          <w:t>[#]</w:t>
        </w:r>
        <w:r w:rsidR="002A6F3B" w:rsidRPr="00E7711A">
          <w:rPr>
            <w:rFonts w:ascii="Calibri" w:hAnsi="Calibri" w:cs="Calibri"/>
          </w:rPr>
          <w:fldChar w:fldCharType="end"/>
        </w:r>
      </w:hyperlink>
    </w:p>
    <w:p w:rsidR="006A20BA" w:rsidRPr="00E7711A" w:rsidRDefault="006A20BA" w:rsidP="006A20BA">
      <w:pPr>
        <w:pStyle w:val="TOC1"/>
        <w:spacing w:after="576"/>
        <w:rPr>
          <w:rStyle w:val="Hyperlink"/>
          <w:rFonts w:ascii="Calibri" w:hAnsi="Calibri" w:cs="Calibri"/>
          <w:noProof/>
          <w:color w:val="auto"/>
        </w:rPr>
      </w:pPr>
      <w:hyperlink w:anchor="_Toc322683954" w:history="1">
        <w:r w:rsidRPr="00E7711A">
          <w:rPr>
            <w:rStyle w:val="Hyperlink"/>
            <w:rFonts w:ascii="Calibri" w:hAnsi="Calibri" w:cs="Calibri"/>
            <w:noProof/>
            <w:color w:val="auto"/>
          </w:rPr>
          <w:t>I</w:t>
        </w:r>
        <w:r>
          <w:rPr>
            <w:rStyle w:val="Hyperlink"/>
            <w:rFonts w:ascii="Calibri" w:hAnsi="Calibri" w:cs="Calibri"/>
            <w:noProof/>
            <w:color w:val="auto"/>
          </w:rPr>
          <w:t>-1</w:t>
        </w:r>
        <w:r w:rsidRPr="00E7711A">
          <w:rPr>
            <w:rStyle w:val="Hyperlink"/>
            <w:rFonts w:ascii="Calibri" w:hAnsi="Calibri" w:cs="Calibri"/>
            <w:noProof/>
            <w:color w:val="auto"/>
          </w:rPr>
          <w:t>.</w:t>
        </w:r>
        <w:r w:rsidRPr="00E7711A">
          <w:rPr>
            <w:rFonts w:ascii="Calibri" w:hAnsi="Calibri" w:cs="Calibri"/>
            <w:noProof/>
          </w:rPr>
          <w:tab/>
        </w:r>
        <w:r>
          <w:rPr>
            <w:rStyle w:val="Hyperlink"/>
            <w:rFonts w:ascii="Calibri" w:hAnsi="Calibri" w:cs="Calibri"/>
            <w:noProof/>
            <w:color w:val="auto"/>
          </w:rPr>
          <w:t>Exam report comment</w:t>
        </w:r>
        <w:r w:rsidRPr="00E7711A">
          <w:rPr>
            <w:rFonts w:ascii="Calibri" w:hAnsi="Calibri" w:cs="Calibri"/>
            <w:noProof/>
            <w:webHidden/>
          </w:rPr>
          <w:tab/>
        </w:r>
        <w:r w:rsidRPr="00E7711A">
          <w:rPr>
            <w:rFonts w:ascii="Calibri" w:hAnsi="Calibri" w:cs="Calibri"/>
          </w:rP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Pr="00E7711A">
          <w:rPr>
            <w:rFonts w:ascii="Calibri" w:hAnsi="Calibri" w:cs="Calibri"/>
          </w:rPr>
          <w:instrText xml:space="preserve"> FORMTEXT </w:instrText>
        </w:r>
        <w:r w:rsidRPr="00E7711A">
          <w:rPr>
            <w:rFonts w:ascii="Calibri" w:hAnsi="Calibri" w:cs="Calibri"/>
          </w:rPr>
        </w:r>
        <w:r w:rsidRPr="00E7711A">
          <w:rPr>
            <w:rFonts w:ascii="Calibri" w:hAnsi="Calibri" w:cs="Calibri"/>
          </w:rPr>
          <w:fldChar w:fldCharType="separate"/>
        </w:r>
        <w:r w:rsidRPr="00E7711A">
          <w:rPr>
            <w:rFonts w:ascii="Calibri" w:hAnsi="Calibri" w:cs="Calibri"/>
            <w:noProof/>
          </w:rPr>
          <w:t>[#]</w:t>
        </w:r>
        <w:r w:rsidRPr="00E7711A">
          <w:rPr>
            <w:rFonts w:ascii="Calibri" w:hAnsi="Calibri" w:cs="Calibri"/>
          </w:rPr>
          <w:fldChar w:fldCharType="end"/>
        </w:r>
      </w:hyperlink>
    </w:p>
    <w:p w:rsidR="006A20BA" w:rsidRPr="006A20BA" w:rsidRDefault="006A20BA" w:rsidP="006A20BA"/>
    <w:p w:rsidR="0002393E" w:rsidRDefault="002A6F3B" w:rsidP="00834D5E">
      <w:pPr>
        <w:tabs>
          <w:tab w:val="left" w:pos="720"/>
        </w:tabs>
        <w:spacing w:afterLines="240" w:after="576"/>
        <w:rPr>
          <w:szCs w:val="24"/>
        </w:rPr>
      </w:pPr>
      <w:r w:rsidRPr="00596560">
        <w:rPr>
          <w:rFonts w:ascii="Calibri" w:hAnsi="Calibri" w:cs="Calibri"/>
          <w:szCs w:val="24"/>
        </w:rPr>
        <w:fldChar w:fldCharType="end"/>
      </w:r>
    </w:p>
    <w:p w:rsidR="0002393E" w:rsidRPr="00793160" w:rsidRDefault="0002393E" w:rsidP="0002393E">
      <w:pPr>
        <w:rPr>
          <w:szCs w:val="24"/>
        </w:rPr>
        <w:sectPr w:rsidR="0002393E" w:rsidRPr="00793160" w:rsidSect="00963DD2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2E1E63" w:rsidRPr="00050F41" w:rsidRDefault="002E1E63" w:rsidP="002E1E63">
      <w:pPr>
        <w:rPr>
          <w:rFonts w:ascii="Calibri" w:hAnsi="Calibri" w:cs="Calibri"/>
          <w:sz w:val="12"/>
        </w:rPr>
      </w:pPr>
    </w:p>
    <w:p w:rsidR="00FB0049" w:rsidRDefault="00FB004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624434" w:rsidRPr="00050F41" w:rsidTr="00624434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434" w:rsidRPr="00523214" w:rsidRDefault="00523214" w:rsidP="00293F78">
            <w:pPr>
              <w:pStyle w:val="Heading1"/>
              <w:numPr>
                <w:ilvl w:val="0"/>
                <w:numId w:val="4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24434">
              <w:rPr>
                <w:rFonts w:cs="Calibri"/>
              </w:rPr>
              <w:t xml:space="preserve">Examination Procedures </w:t>
            </w:r>
            <w:r>
              <w:rPr>
                <w:rFonts w:cs="Calibri"/>
              </w:rPr>
              <w:t>–</w:t>
            </w:r>
            <w:r w:rsidRPr="00624434">
              <w:rPr>
                <w:rFonts w:cs="Calibri"/>
              </w:rPr>
              <w:t xml:space="preserve"> </w:t>
            </w:r>
            <w:r w:rsidR="00293F78">
              <w:rPr>
                <w:rFonts w:cs="Calibri"/>
              </w:rPr>
              <w:t>Compliance Audit</w:t>
            </w:r>
          </w:p>
        </w:tc>
      </w:tr>
      <w:tr w:rsidR="00FB0049" w:rsidRPr="00050F41" w:rsidTr="00793160">
        <w:tc>
          <w:tcPr>
            <w:tcW w:w="6480" w:type="dxa"/>
            <w:shd w:val="clear" w:color="auto" w:fill="D9D9D9"/>
          </w:tcPr>
          <w:p w:rsidR="00FB0049" w:rsidRPr="00050F41" w:rsidRDefault="001C3D20" w:rsidP="00FD5C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i/>
                <w:sz w:val="20"/>
              </w:rPr>
              <w:t>To determine the adequacy of the compliance audit program, examiners should:</w:t>
            </w:r>
          </w:p>
        </w:tc>
        <w:tc>
          <w:tcPr>
            <w:tcW w:w="6480" w:type="dxa"/>
            <w:shd w:val="clear" w:color="auto" w:fill="D9D9D9"/>
          </w:tcPr>
          <w:p w:rsidR="00FB0049" w:rsidRPr="00050F41" w:rsidRDefault="00FB0049" w:rsidP="00FD5C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bCs/>
                <w:i/>
                <w:sz w:val="20"/>
              </w:rPr>
              <w:t>C</w:t>
            </w:r>
            <w:r w:rsidR="00D80CA2" w:rsidRPr="00050F41">
              <w:rPr>
                <w:rFonts w:ascii="Calibri" w:hAnsi="Calibri" w:cs="Calibri"/>
                <w:b/>
                <w:bCs/>
                <w:i/>
                <w:sz w:val="20"/>
              </w:rPr>
              <w:t>omments</w:t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Request the supervised entity’s audit plans and schedules for the prior year, current year, and the following year.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If compliance audit is performed by a third party, request and review the engagement letters or contracts covering the prior year and the current year.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Determine the basis for the audit plan and schedule and whether reporting is to the board of directors or to an audit committee or other committee of the board.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Request and review all compliance audit reports for a specified period of time, including any fair lending audit reports.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Determine whether written audit reports identify the scope, sampling techniques, findings/deficiencies, recommendations for corrective action, and management responses with time frames for corrective action.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Determine whether audit scopes include previous audit and examination findings, new requirements, new products and channels, and self-identified higher risk areas of the supervised entity’s operations.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1C3D2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 xml:space="preserve">Request and review audit </w:t>
            </w:r>
            <w:proofErr w:type="spellStart"/>
            <w:r w:rsidRPr="00050F41">
              <w:rPr>
                <w:rFonts w:ascii="Calibri" w:hAnsi="Calibri" w:cs="Calibri"/>
              </w:rPr>
              <w:t>workpapers</w:t>
            </w:r>
            <w:proofErr w:type="spellEnd"/>
            <w:r w:rsidRPr="00050F41">
              <w:rPr>
                <w:rFonts w:ascii="Calibri" w:hAnsi="Calibri" w:cs="Calibri"/>
              </w:rPr>
              <w:t xml:space="preserve"> for a sample of audits covering potential unfair, deceptive, or abusive practices; or other areas that may pose heightened risks to consumers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D95B2A" w:rsidRPr="00050F41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7D718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lastRenderedPageBreak/>
              <w:t>Determine whether corrective actions are tracked and any delay in appropriate management response or lack of corrective action is escalated.</w:t>
            </w:r>
          </w:p>
        </w:tc>
        <w:tc>
          <w:tcPr>
            <w:tcW w:w="6480" w:type="dxa"/>
            <w:shd w:val="clear" w:color="auto" w:fill="auto"/>
          </w:tcPr>
          <w:p w:rsidR="00D95B2A" w:rsidRPr="0047571A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95B2A" w:rsidRPr="00050F41" w:rsidTr="00793160">
        <w:tc>
          <w:tcPr>
            <w:tcW w:w="6480" w:type="dxa"/>
            <w:shd w:val="clear" w:color="auto" w:fill="auto"/>
          </w:tcPr>
          <w:p w:rsidR="00D95B2A" w:rsidRPr="00050F41" w:rsidRDefault="007D718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Determine whether the supervised entity’s chief compliance officer and appropriate business unit head(s) receive copies of audit reports, so that adjustments can be made to compliance program elements in a timely manner.</w:t>
            </w:r>
          </w:p>
        </w:tc>
        <w:tc>
          <w:tcPr>
            <w:tcW w:w="6480" w:type="dxa"/>
            <w:shd w:val="clear" w:color="auto" w:fill="auto"/>
          </w:tcPr>
          <w:p w:rsidR="00D95B2A" w:rsidRPr="0047571A" w:rsidRDefault="00D95B2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7D7180" w:rsidRPr="00050F41" w:rsidTr="00793160">
        <w:tc>
          <w:tcPr>
            <w:tcW w:w="6480" w:type="dxa"/>
            <w:shd w:val="clear" w:color="auto" w:fill="auto"/>
          </w:tcPr>
          <w:p w:rsidR="007D7180" w:rsidRPr="00050F41" w:rsidRDefault="007D7180" w:rsidP="001C3D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Review audit function structure and policies and procedures to ensure that the audit function, whether internal or external, is sufficiently independent of the business line and compliance management function.</w:t>
            </w:r>
          </w:p>
        </w:tc>
        <w:tc>
          <w:tcPr>
            <w:tcW w:w="6480" w:type="dxa"/>
            <w:shd w:val="clear" w:color="auto" w:fill="auto"/>
          </w:tcPr>
          <w:p w:rsidR="007D7180" w:rsidRPr="0047571A" w:rsidRDefault="007D7180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F0083" w:rsidRPr="00050F41" w:rsidTr="00793160">
        <w:tc>
          <w:tcPr>
            <w:tcW w:w="12960" w:type="dxa"/>
            <w:gridSpan w:val="2"/>
            <w:shd w:val="clear" w:color="auto" w:fill="D9D9D9"/>
          </w:tcPr>
          <w:p w:rsidR="001F0083" w:rsidRPr="00050F41" w:rsidRDefault="00FB0049" w:rsidP="00293F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0F41">
              <w:rPr>
                <w:rFonts w:ascii="Calibri" w:hAnsi="Calibri" w:cs="Calibri"/>
                <w:b/>
                <w:bCs/>
              </w:rPr>
              <w:t xml:space="preserve">Conclusions </w:t>
            </w:r>
            <w:r w:rsidR="00ED6B54">
              <w:rPr>
                <w:rFonts w:ascii="Calibri" w:hAnsi="Calibri" w:cs="Calibri"/>
                <w:b/>
                <w:bCs/>
              </w:rPr>
              <w:t>–</w:t>
            </w:r>
            <w:r w:rsidRPr="00050F41">
              <w:rPr>
                <w:rFonts w:ascii="Calibri" w:hAnsi="Calibri" w:cs="Calibri"/>
                <w:b/>
                <w:bCs/>
              </w:rPr>
              <w:t xml:space="preserve"> </w:t>
            </w:r>
            <w:r w:rsidR="00293F78">
              <w:rPr>
                <w:rFonts w:ascii="Calibri" w:hAnsi="Calibri" w:cs="Calibri"/>
                <w:b/>
                <w:bCs/>
              </w:rPr>
              <w:t>Compliance Audit</w:t>
            </w:r>
          </w:p>
        </w:tc>
      </w:tr>
      <w:tr w:rsidR="00D02CBB" w:rsidRPr="00050F41" w:rsidTr="00793160">
        <w:tc>
          <w:tcPr>
            <w:tcW w:w="12960" w:type="dxa"/>
            <w:gridSpan w:val="2"/>
            <w:shd w:val="clear" w:color="auto" w:fill="auto"/>
          </w:tcPr>
          <w:p w:rsidR="001C3D20" w:rsidRPr="00050F41" w:rsidRDefault="001C3D20" w:rsidP="001C3D20">
            <w:pPr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Draw preliminary conclusions about the strength, adequacy, or weakness of the compliance audit. Consider whether:</w:t>
            </w:r>
          </w:p>
          <w:p w:rsidR="001C3D20" w:rsidRPr="00050F41" w:rsidRDefault="001C3D20" w:rsidP="001C3D2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050F41">
              <w:rPr>
                <w:rFonts w:ascii="Calibri" w:hAnsi="Calibri" w:cs="Calibri"/>
              </w:rPr>
              <w:t>The audit program is sufficiently independent and reports to the board or a committee of the board;</w:t>
            </w:r>
          </w:p>
          <w:p w:rsidR="001C3D20" w:rsidRPr="00050F41" w:rsidRDefault="001C3D20" w:rsidP="001C3D2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050F41">
              <w:rPr>
                <w:rFonts w:ascii="Calibri" w:hAnsi="Calibri" w:cs="Calibri"/>
              </w:rPr>
              <w:t xml:space="preserve">The audit program addresses compliance with all applicable </w:t>
            </w:r>
            <w:r>
              <w:rPr>
                <w:rFonts w:ascii="Calibri" w:hAnsi="Calibri" w:cs="Calibri"/>
              </w:rPr>
              <w:t>state and federal</w:t>
            </w:r>
            <w:r w:rsidRPr="00050F41">
              <w:rPr>
                <w:rFonts w:ascii="Calibri" w:hAnsi="Calibri" w:cs="Calibri"/>
              </w:rPr>
              <w:t xml:space="preserve"> consumer financial laws</w:t>
            </w:r>
            <w:r w:rsidRPr="00050F41">
              <w:rPr>
                <w:rFonts w:ascii="Calibri" w:hAnsi="Calibri" w:cs="Calibri"/>
                <w:szCs w:val="24"/>
              </w:rPr>
              <w:t>;</w:t>
            </w:r>
          </w:p>
          <w:p w:rsidR="001C3D20" w:rsidRPr="00050F41" w:rsidRDefault="001C3D20" w:rsidP="001C3D2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050F41">
              <w:rPr>
                <w:rFonts w:ascii="Calibri" w:hAnsi="Calibri" w:cs="Calibri"/>
              </w:rPr>
              <w:t>The schedule and coverage of audit activities is appropriate to the size of the entity, its consumer financial product offerings, and its manner of conducting its consumer financial products business</w:t>
            </w:r>
            <w:r w:rsidRPr="00050F41">
              <w:rPr>
                <w:rFonts w:ascii="Calibri" w:hAnsi="Calibri" w:cs="Calibri"/>
                <w:szCs w:val="24"/>
              </w:rPr>
              <w:t>;</w:t>
            </w:r>
          </w:p>
          <w:p w:rsidR="001C3D20" w:rsidRPr="00050F41" w:rsidRDefault="001C3D20" w:rsidP="001C3D2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050F41">
              <w:rPr>
                <w:rFonts w:ascii="Calibri" w:hAnsi="Calibri" w:cs="Calibri"/>
              </w:rPr>
              <w:t>All appropriate compliance and business unit managers receive copies of audit reports in a timely manner</w:t>
            </w:r>
            <w:r w:rsidRPr="00050F41">
              <w:rPr>
                <w:rFonts w:ascii="Calibri" w:hAnsi="Calibri" w:cs="Calibri"/>
                <w:szCs w:val="24"/>
              </w:rPr>
              <w:t>; and</w:t>
            </w:r>
          </w:p>
          <w:p w:rsidR="001C3D20" w:rsidRPr="00050F41" w:rsidRDefault="001C3D20" w:rsidP="001C3D20">
            <w:pPr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050F41">
              <w:rPr>
                <w:rFonts w:ascii="Calibri" w:hAnsi="Calibri" w:cs="Calibri"/>
              </w:rPr>
              <w:t>Audit results lead to appropriate, timely corrective action.</w:t>
            </w:r>
          </w:p>
          <w:p w:rsidR="001C3D20" w:rsidRPr="00050F41" w:rsidRDefault="001C3D20" w:rsidP="001C3D20">
            <w:pPr>
              <w:tabs>
                <w:tab w:val="left" w:pos="5013"/>
              </w:tabs>
              <w:jc w:val="both"/>
              <w:rPr>
                <w:rFonts w:ascii="Calibri" w:hAnsi="Calibri" w:cs="Calibri"/>
              </w:rPr>
            </w:pPr>
          </w:p>
          <w:p w:rsidR="00D02CBB" w:rsidRPr="00353190" w:rsidRDefault="001C3D20" w:rsidP="00353190">
            <w:pPr>
              <w:jc w:val="both"/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t>Confirm the preliminary conclusions by identifying areas for further review based on gaps in audit coverage or to confirm the accuracy of audit findings and reporting.</w:t>
            </w:r>
          </w:p>
        </w:tc>
      </w:tr>
      <w:tr w:rsidR="00D95B2A" w:rsidRPr="00050F41" w:rsidTr="00793160">
        <w:tc>
          <w:tcPr>
            <w:tcW w:w="12960" w:type="dxa"/>
            <w:gridSpan w:val="2"/>
            <w:shd w:val="clear" w:color="auto" w:fill="auto"/>
          </w:tcPr>
          <w:p w:rsidR="00D95B2A" w:rsidRPr="00050F41" w:rsidRDefault="00D95B2A" w:rsidP="00D95B2A">
            <w:pPr>
              <w:jc w:val="both"/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D02CBB" w:rsidRPr="00050F41" w:rsidTr="00793160">
        <w:tc>
          <w:tcPr>
            <w:tcW w:w="12960" w:type="dxa"/>
            <w:gridSpan w:val="2"/>
            <w:shd w:val="clear" w:color="auto" w:fill="auto"/>
          </w:tcPr>
          <w:p w:rsidR="00353190" w:rsidRDefault="00353190" w:rsidP="003D6B4B">
            <w:pPr>
              <w:rPr>
                <w:rFonts w:ascii="Calibri" w:hAnsi="Calibri" w:cs="Calibri"/>
                <w:b/>
              </w:rPr>
            </w:pPr>
          </w:p>
          <w:p w:rsidR="003D6B4B" w:rsidRPr="003D6B4B" w:rsidRDefault="003D6B4B" w:rsidP="003D6B4B">
            <w:pPr>
              <w:rPr>
                <w:rFonts w:ascii="Calibri" w:hAnsi="Calibri" w:cs="Calibri"/>
                <w:b/>
              </w:rPr>
            </w:pPr>
            <w:r w:rsidRPr="003D6B4B">
              <w:rPr>
                <w:rFonts w:ascii="Calibri" w:hAnsi="Calibri" w:cs="Calibri"/>
                <w:b/>
              </w:rPr>
              <w:t>INSERT COMMENTS FOR USE IN THE EXAMINTION REPORT.  COMMENTS SHOULD INCLUDE ANY REQUIRED CORRECTIVE ACTIONS IF DEFICIENCIES ARE FOUND.</w:t>
            </w:r>
          </w:p>
          <w:p w:rsidR="003D6B4B" w:rsidRPr="003D6B4B" w:rsidRDefault="003D6B4B" w:rsidP="003D6B4B">
            <w:pPr>
              <w:rPr>
                <w:rFonts w:ascii="Calibri" w:hAnsi="Calibri" w:cs="Calibri"/>
              </w:rPr>
            </w:pPr>
            <w:r w:rsidRPr="003D6B4B">
              <w:rPr>
                <w:rFonts w:ascii="Calibri" w:hAnsi="Calibri" w:cs="Calibri"/>
              </w:rPr>
              <w:t xml:space="preserve">When drafting these comments, use Times New Roman, 12 </w:t>
            </w:r>
            <w:proofErr w:type="spellStart"/>
            <w:r w:rsidRPr="003D6B4B">
              <w:rPr>
                <w:rFonts w:ascii="Calibri" w:hAnsi="Calibri" w:cs="Calibri"/>
              </w:rPr>
              <w:t>pt</w:t>
            </w:r>
            <w:proofErr w:type="spellEnd"/>
            <w:r w:rsidRPr="003D6B4B">
              <w:rPr>
                <w:rFonts w:ascii="Calibri" w:hAnsi="Calibri" w:cs="Calibri"/>
              </w:rPr>
              <w:t xml:space="preserve"> font and justify the right margin.  </w:t>
            </w:r>
          </w:p>
          <w:p w:rsidR="000A084F" w:rsidRDefault="000A084F" w:rsidP="00584B4C">
            <w:pPr>
              <w:rPr>
                <w:rFonts w:ascii="Calibri" w:hAnsi="Calibri" w:cs="Calibri"/>
              </w:rPr>
            </w:pPr>
          </w:p>
          <w:p w:rsidR="000A084F" w:rsidRDefault="000A084F" w:rsidP="00584B4C">
            <w:pPr>
              <w:rPr>
                <w:rFonts w:ascii="Calibri" w:hAnsi="Calibri" w:cs="Calibri"/>
              </w:rPr>
            </w:pPr>
          </w:p>
          <w:p w:rsidR="000A084F" w:rsidRDefault="000A084F" w:rsidP="00584B4C">
            <w:pPr>
              <w:rPr>
                <w:rFonts w:ascii="Calibri" w:hAnsi="Calibri" w:cs="Calibri"/>
              </w:rPr>
            </w:pPr>
          </w:p>
          <w:p w:rsidR="000A084F" w:rsidRDefault="000A084F" w:rsidP="00584B4C">
            <w:pPr>
              <w:rPr>
                <w:rFonts w:ascii="Calibri" w:hAnsi="Calibri" w:cs="Calibri"/>
              </w:rPr>
            </w:pPr>
          </w:p>
          <w:p w:rsidR="000A084F" w:rsidRDefault="000A084F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D95B2A" w:rsidRDefault="00D95B2A" w:rsidP="00584B4C">
            <w:pPr>
              <w:rPr>
                <w:rFonts w:ascii="Calibri" w:hAnsi="Calibri" w:cs="Calibri"/>
              </w:rPr>
            </w:pPr>
          </w:p>
          <w:p w:rsidR="00D95B2A" w:rsidRDefault="00D95B2A" w:rsidP="00584B4C">
            <w:pPr>
              <w:rPr>
                <w:rFonts w:ascii="Calibri" w:hAnsi="Calibri" w:cs="Calibri"/>
              </w:rPr>
            </w:pPr>
          </w:p>
          <w:p w:rsidR="00353190" w:rsidRDefault="00353190" w:rsidP="00584B4C">
            <w:pPr>
              <w:rPr>
                <w:rFonts w:ascii="Calibri" w:hAnsi="Calibri" w:cs="Calibri"/>
              </w:rPr>
            </w:pPr>
          </w:p>
          <w:p w:rsidR="00D95B2A" w:rsidRDefault="00D95B2A" w:rsidP="00584B4C">
            <w:pPr>
              <w:rPr>
                <w:rFonts w:ascii="Calibri" w:hAnsi="Calibri" w:cs="Calibri"/>
              </w:rPr>
            </w:pPr>
          </w:p>
          <w:p w:rsidR="00353190" w:rsidRDefault="00353190" w:rsidP="00584B4C">
            <w:pPr>
              <w:rPr>
                <w:rFonts w:ascii="Calibri" w:hAnsi="Calibri" w:cs="Calibri"/>
              </w:rPr>
            </w:pPr>
          </w:p>
          <w:p w:rsidR="00D95B2A" w:rsidRDefault="00D95B2A" w:rsidP="00584B4C">
            <w:pPr>
              <w:rPr>
                <w:rFonts w:ascii="Calibri" w:hAnsi="Calibri" w:cs="Calibri"/>
              </w:rPr>
            </w:pPr>
          </w:p>
          <w:p w:rsidR="00D95B2A" w:rsidRDefault="00D95B2A" w:rsidP="00584B4C">
            <w:pPr>
              <w:rPr>
                <w:rFonts w:ascii="Calibri" w:hAnsi="Calibri" w:cs="Calibri"/>
              </w:rPr>
            </w:pPr>
          </w:p>
          <w:p w:rsidR="00523214" w:rsidRDefault="00523214" w:rsidP="00584B4C">
            <w:pPr>
              <w:rPr>
                <w:rFonts w:ascii="Calibri" w:hAnsi="Calibri" w:cs="Calibri"/>
              </w:rPr>
            </w:pPr>
          </w:p>
          <w:p w:rsidR="00523214" w:rsidRPr="00880078" w:rsidRDefault="00523214" w:rsidP="00523214">
            <w:pPr>
              <w:rPr>
                <w:rFonts w:ascii="Calibri" w:hAnsi="Calibri" w:cs="Calibri"/>
              </w:rPr>
            </w:pPr>
          </w:p>
        </w:tc>
      </w:tr>
    </w:tbl>
    <w:p w:rsidR="007C32F5" w:rsidRDefault="007C32F5" w:rsidP="00523214"/>
    <w:sectPr w:rsidR="007C32F5" w:rsidSect="00865CB6">
      <w:footerReference w:type="default" r:id="rId16"/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20" w:rsidRDefault="001C3D20" w:rsidP="001F0083">
      <w:r>
        <w:separator/>
      </w:r>
    </w:p>
  </w:endnote>
  <w:endnote w:type="continuationSeparator" w:id="0">
    <w:p w:rsidR="001C3D20" w:rsidRDefault="001C3D20" w:rsidP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20" w:rsidRPr="001C3489" w:rsidRDefault="001C3D20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 w:rsidRPr="001C3489">
      <w:rPr>
        <w:rFonts w:ascii="Calibri" w:hAnsi="Calibri" w:cs="Calibri"/>
        <w:b/>
        <w:sz w:val="20"/>
        <w:szCs w:val="20"/>
      </w:rPr>
      <w:t>MA Division of Banks</w:t>
    </w:r>
    <w:r w:rsidRPr="001C3489">
      <w:rPr>
        <w:rFonts w:ascii="Calibri" w:hAnsi="Calibri" w:cs="Calibri"/>
        <w:b/>
        <w:sz w:val="20"/>
        <w:szCs w:val="20"/>
      </w:rPr>
      <w:tab/>
      <w:t>Manual V.2 (October 2012)</w:t>
    </w:r>
    <w:r w:rsidRPr="001C3489">
      <w:rPr>
        <w:rFonts w:ascii="Calibri" w:hAnsi="Calibri" w:cs="Calibri"/>
        <w:b/>
        <w:sz w:val="20"/>
        <w:szCs w:val="20"/>
      </w:rPr>
      <w:tab/>
      <w:t xml:space="preserve">Template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3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20" w:rsidRPr="001C3489" w:rsidRDefault="006A20BA" w:rsidP="001C3489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>CMS-Compliance Audit Module V.3</w:t>
    </w:r>
    <w:r w:rsidR="001C3D20" w:rsidRPr="001C3489">
      <w:rPr>
        <w:rFonts w:ascii="Calibri" w:hAnsi="Calibri" w:cs="Calibri"/>
        <w:b/>
        <w:sz w:val="20"/>
        <w:szCs w:val="20"/>
      </w:rPr>
      <w:t xml:space="preserve"> (</w:t>
    </w:r>
    <w:r>
      <w:rPr>
        <w:rFonts w:ascii="Calibri" w:hAnsi="Calibri" w:cs="Calibri"/>
        <w:b/>
        <w:sz w:val="20"/>
        <w:szCs w:val="20"/>
      </w:rPr>
      <w:t>February</w:t>
    </w:r>
    <w:r w:rsidR="001C3D20">
      <w:rPr>
        <w:rFonts w:ascii="Calibri" w:hAnsi="Calibri" w:cs="Calibri"/>
        <w:b/>
        <w:sz w:val="20"/>
        <w:szCs w:val="20"/>
      </w:rPr>
      <w:t xml:space="preserve"> 2016</w:t>
    </w:r>
    <w:r w:rsidR="001C3D20" w:rsidRPr="001C3489">
      <w:rPr>
        <w:rFonts w:ascii="Calibri" w:hAnsi="Calibri" w:cs="Calibri"/>
        <w:b/>
        <w:sz w:val="20"/>
        <w:szCs w:val="20"/>
      </w:rPr>
      <w:t>)</w:t>
    </w:r>
    <w:r w:rsidR="001C3D20" w:rsidRPr="001C3489">
      <w:rPr>
        <w:rFonts w:ascii="Calibri" w:hAnsi="Calibri" w:cs="Calibri"/>
        <w:b/>
        <w:sz w:val="20"/>
        <w:szCs w:val="20"/>
      </w:rPr>
      <w:tab/>
    </w:r>
    <w:r w:rsidR="001C3D20">
      <w:rPr>
        <w:rFonts w:ascii="Calibri" w:hAnsi="Calibri" w:cs="Calibri"/>
        <w:b/>
        <w:sz w:val="20"/>
        <w:szCs w:val="20"/>
      </w:rPr>
      <w:t>Page</w:t>
    </w:r>
    <w:r w:rsidR="001C3D20" w:rsidRPr="001C3489">
      <w:rPr>
        <w:rFonts w:ascii="Calibri" w:hAnsi="Calibri" w:cs="Calibri"/>
        <w:b/>
        <w:sz w:val="20"/>
        <w:szCs w:val="20"/>
      </w:rPr>
      <w:t xml:space="preserve"> </w: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1</w: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  <w:p w:rsidR="001C3D20" w:rsidRPr="001C3489" w:rsidRDefault="001C3D20">
    <w:pPr>
      <w:pStyle w:val="Footer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20" w:rsidRPr="001C3489" w:rsidRDefault="006A20BA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>CMS-Compliance Audit Module V.3</w:t>
    </w:r>
    <w:r w:rsidR="001C3D20" w:rsidRPr="001C3489">
      <w:rPr>
        <w:rFonts w:ascii="Calibri" w:hAnsi="Calibri" w:cs="Calibri"/>
        <w:b/>
        <w:sz w:val="20"/>
        <w:szCs w:val="20"/>
      </w:rPr>
      <w:t xml:space="preserve"> (</w:t>
    </w:r>
    <w:r>
      <w:rPr>
        <w:rFonts w:ascii="Calibri" w:hAnsi="Calibri" w:cs="Calibri"/>
        <w:b/>
        <w:sz w:val="20"/>
        <w:szCs w:val="20"/>
      </w:rPr>
      <w:t>February</w:t>
    </w:r>
    <w:r w:rsidR="001C3D20">
      <w:rPr>
        <w:rFonts w:ascii="Calibri" w:hAnsi="Calibri" w:cs="Calibri"/>
        <w:b/>
        <w:sz w:val="20"/>
        <w:szCs w:val="20"/>
      </w:rPr>
      <w:t xml:space="preserve"> 2016</w:t>
    </w:r>
    <w:r w:rsidR="001C3D20" w:rsidRPr="001C3489">
      <w:rPr>
        <w:rFonts w:ascii="Calibri" w:hAnsi="Calibri" w:cs="Calibri"/>
        <w:b/>
        <w:sz w:val="20"/>
        <w:szCs w:val="20"/>
      </w:rPr>
      <w:t>)</w:t>
    </w:r>
    <w:r w:rsidR="001C3D20" w:rsidRPr="001C3489">
      <w:rPr>
        <w:rFonts w:ascii="Calibri" w:hAnsi="Calibri" w:cs="Calibri"/>
        <w:b/>
        <w:sz w:val="20"/>
        <w:szCs w:val="20"/>
      </w:rPr>
      <w:tab/>
    </w:r>
    <w:r w:rsidR="001C3D20">
      <w:rPr>
        <w:rFonts w:ascii="Calibri" w:hAnsi="Calibri" w:cs="Calibri"/>
        <w:b/>
        <w:sz w:val="20"/>
        <w:szCs w:val="20"/>
      </w:rPr>
      <w:t>Page</w:t>
    </w:r>
    <w:r w:rsidR="001C3D20" w:rsidRPr="001C3489">
      <w:rPr>
        <w:rFonts w:ascii="Calibri" w:hAnsi="Calibri" w:cs="Calibri"/>
        <w:b/>
        <w:sz w:val="20"/>
        <w:szCs w:val="20"/>
      </w:rPr>
      <w:t xml:space="preserve"> </w: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="001C3D20"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20" w:rsidRDefault="001C3D20" w:rsidP="001F0083">
      <w:r>
        <w:separator/>
      </w:r>
    </w:p>
  </w:footnote>
  <w:footnote w:type="continuationSeparator" w:id="0">
    <w:p w:rsidR="001C3D20" w:rsidRDefault="001C3D20" w:rsidP="001F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20" w:rsidRPr="00733878" w:rsidRDefault="001C3D20" w:rsidP="001C3489">
    <w:pPr>
      <w:pStyle w:val="Header"/>
      <w:jc w:val="center"/>
      <w:rPr>
        <w:rFonts w:ascii="Gill Sans MT" w:hAnsi="Gill Sans MT"/>
        <w:b/>
        <w:sz w:val="20"/>
        <w:szCs w:val="20"/>
      </w:rPr>
    </w:pPr>
    <w:r w:rsidRPr="00733878">
      <w:rPr>
        <w:rFonts w:ascii="Gill Sans MT" w:hAnsi="Gill Sans MT"/>
        <w:sz w:val="20"/>
        <w:szCs w:val="20"/>
      </w:rPr>
      <w:t>Confidential Supervisory Information</w:t>
    </w:r>
  </w:p>
  <w:p w:rsidR="001C3D20" w:rsidRPr="00733878" w:rsidRDefault="001C3D20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 w:rsidRPr="00733878">
      <w:rPr>
        <w:rFonts w:ascii="Gill Sans MT" w:hAnsi="Gill Sans MT"/>
        <w:b/>
        <w:sz w:val="36"/>
        <w:szCs w:val="36"/>
      </w:rPr>
      <w:t>Compliance Management Review</w:t>
    </w:r>
  </w:p>
  <w:p w:rsidR="001C3D20" w:rsidRPr="00A35CCB" w:rsidRDefault="006A20BA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spacing w:after="240"/>
      <w:rPr>
        <w:rFonts w:ascii="Gill Sans MT" w:hAnsi="Gill Sans MT"/>
        <w:b/>
        <w:sz w:val="20"/>
        <w:szCs w:val="20"/>
      </w:rPr>
    </w:pPr>
    <w:r>
      <w:fldChar w:fldCharType="begin"/>
    </w:r>
    <w:r>
      <w:instrText xml:space="preserve"> STYLEREF  DOB1  \* MERGEFORMAT </w:instrText>
    </w:r>
    <w:r>
      <w:fldChar w:fldCharType="separate"/>
    </w:r>
    <w:r w:rsidRPr="006A20BA">
      <w:rPr>
        <w:rFonts w:ascii="Gill Sans MT" w:hAnsi="Gill Sans MT"/>
        <w:b/>
        <w:noProof/>
        <w:sz w:val="20"/>
        <w:szCs w:val="20"/>
      </w:rPr>
      <w:t>Entity Name:</w:t>
    </w:r>
    <w:r w:rsidRPr="006A20BA">
      <w:rPr>
        <w:rFonts w:ascii="Gill Sans MT" w:hAnsi="Gill Sans MT"/>
        <w:b/>
        <w:noProof/>
        <w:sz w:val="20"/>
        <w:szCs w:val="20"/>
      </w:rPr>
      <w:tab/>
    </w:r>
    <w:r w:rsidRPr="006A20BA">
      <w:rPr>
        <w:rFonts w:ascii="Gill Sans MT" w:hAnsi="Gill Sans MT" w:cs="Arial"/>
        <w:b/>
        <w:noProof/>
        <w:sz w:val="20"/>
        <w:szCs w:val="20"/>
      </w:rPr>
      <w:t>Prepared by:</w:t>
    </w:r>
    <w:r>
      <w:rPr>
        <w:rFonts w:ascii="Gill Sans MT" w:hAnsi="Gill Sans MT" w:cs="Arial"/>
        <w:b/>
        <w:noProof/>
        <w:sz w:val="20"/>
        <w:szCs w:val="20"/>
      </w:rPr>
      <w:fldChar w:fldCharType="end"/>
    </w:r>
  </w:p>
  <w:p w:rsidR="001C3D20" w:rsidRPr="00A35CCB" w:rsidRDefault="006A20BA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  <w:r>
      <w:fldChar w:fldCharType="begin"/>
    </w:r>
    <w:r>
      <w:instrText xml:space="preserve"> STYLEREF  DOB2  \* MERGEFORMAT </w:instrText>
    </w:r>
    <w:r>
      <w:fldChar w:fldCharType="separate"/>
    </w:r>
    <w:r w:rsidRPr="006A20BA">
      <w:rPr>
        <w:rFonts w:ascii="Gill Sans MT" w:hAnsi="Gill Sans MT"/>
        <w:b/>
        <w:noProof/>
        <w:sz w:val="20"/>
        <w:szCs w:val="20"/>
      </w:rPr>
      <w:t xml:space="preserve">NMLS/License Number: </w:t>
    </w:r>
    <w:r w:rsidRPr="006A20BA">
      <w:rPr>
        <w:rFonts w:ascii="Gill Sans MT" w:hAnsi="Gill Sans MT"/>
        <w:b/>
        <w:noProof/>
        <w:sz w:val="20"/>
        <w:szCs w:val="20"/>
      </w:rPr>
      <w:tab/>
      <w:t>Date:</w:t>
    </w:r>
    <w:r>
      <w:rPr>
        <w:rFonts w:ascii="Gill Sans MT" w:hAnsi="Gill Sans MT"/>
        <w:b/>
        <w:noProof/>
        <w:sz w:val="20"/>
        <w:szCs w:val="20"/>
      </w:rPr>
      <w:fldChar w:fldCharType="end"/>
    </w:r>
  </w:p>
  <w:p w:rsidR="001C3D20" w:rsidRPr="00733878" w:rsidRDefault="001C3D20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20" w:rsidRPr="00A47C6E" w:rsidRDefault="001C3D20" w:rsidP="00963DD2">
    <w:pPr>
      <w:pStyle w:val="Header"/>
      <w:jc w:val="center"/>
      <w:rPr>
        <w:rFonts w:ascii="Gill Sans MT" w:hAnsi="Gill Sans MT"/>
        <w:b/>
        <w:sz w:val="20"/>
        <w:szCs w:val="20"/>
      </w:rPr>
    </w:pPr>
    <w:r w:rsidRPr="00A47C6E">
      <w:rPr>
        <w:rFonts w:ascii="Gill Sans MT" w:hAnsi="Gill Sans MT"/>
        <w:sz w:val="20"/>
        <w:szCs w:val="20"/>
      </w:rPr>
      <w:t>Confidential Supervisory Information</w:t>
    </w:r>
  </w:p>
  <w:p w:rsidR="001C3D20" w:rsidRPr="00963DD2" w:rsidRDefault="001C3D20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Compliance Management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62C"/>
    <w:multiLevelType w:val="hybridMultilevel"/>
    <w:tmpl w:val="FF10C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B1FE4"/>
    <w:multiLevelType w:val="hybridMultilevel"/>
    <w:tmpl w:val="27F6602E"/>
    <w:lvl w:ilvl="0" w:tplc="1C74E5B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2694B"/>
    <w:multiLevelType w:val="hybridMultilevel"/>
    <w:tmpl w:val="850A4C4C"/>
    <w:lvl w:ilvl="0" w:tplc="EF74C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CEE"/>
    <w:multiLevelType w:val="hybridMultilevel"/>
    <w:tmpl w:val="DBB2FD6E"/>
    <w:lvl w:ilvl="0" w:tplc="F374646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9CD"/>
    <w:multiLevelType w:val="hybridMultilevel"/>
    <w:tmpl w:val="E4EAA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5D4F"/>
    <w:multiLevelType w:val="hybridMultilevel"/>
    <w:tmpl w:val="D6F02D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08D5"/>
    <w:multiLevelType w:val="hybridMultilevel"/>
    <w:tmpl w:val="29BA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B2425"/>
    <w:multiLevelType w:val="hybridMultilevel"/>
    <w:tmpl w:val="AFB41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CB5833"/>
    <w:multiLevelType w:val="hybridMultilevel"/>
    <w:tmpl w:val="E16A400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261C2D"/>
    <w:multiLevelType w:val="hybridMultilevel"/>
    <w:tmpl w:val="23CA566A"/>
    <w:lvl w:ilvl="0" w:tplc="07E2AB92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C57C2"/>
    <w:multiLevelType w:val="hybridMultilevel"/>
    <w:tmpl w:val="C936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06937"/>
    <w:multiLevelType w:val="hybridMultilevel"/>
    <w:tmpl w:val="3878A666"/>
    <w:lvl w:ilvl="0" w:tplc="45345D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3938"/>
    <w:multiLevelType w:val="hybridMultilevel"/>
    <w:tmpl w:val="D188F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226FB"/>
    <w:multiLevelType w:val="hybridMultilevel"/>
    <w:tmpl w:val="F11A2E50"/>
    <w:lvl w:ilvl="0" w:tplc="1D6E5D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20075"/>
    <w:multiLevelType w:val="hybridMultilevel"/>
    <w:tmpl w:val="F446B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42CBE"/>
    <w:multiLevelType w:val="hybridMultilevel"/>
    <w:tmpl w:val="C7885E0C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E0D68"/>
    <w:multiLevelType w:val="hybridMultilevel"/>
    <w:tmpl w:val="E6DABDBC"/>
    <w:lvl w:ilvl="0" w:tplc="2C2E6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1806"/>
    <w:multiLevelType w:val="hybridMultilevel"/>
    <w:tmpl w:val="B608D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636E4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A39E4"/>
    <w:multiLevelType w:val="hybridMultilevel"/>
    <w:tmpl w:val="B2A283B6"/>
    <w:lvl w:ilvl="0" w:tplc="7D5CB3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169D4"/>
    <w:multiLevelType w:val="hybridMultilevel"/>
    <w:tmpl w:val="7056196C"/>
    <w:lvl w:ilvl="0" w:tplc="8CD6668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A55DC"/>
    <w:multiLevelType w:val="hybridMultilevel"/>
    <w:tmpl w:val="63BA3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886F9A"/>
    <w:multiLevelType w:val="hybridMultilevel"/>
    <w:tmpl w:val="8FAE8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04897"/>
    <w:multiLevelType w:val="hybridMultilevel"/>
    <w:tmpl w:val="50BC9CDE"/>
    <w:lvl w:ilvl="0" w:tplc="74A68E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57BAD"/>
    <w:multiLevelType w:val="hybridMultilevel"/>
    <w:tmpl w:val="F54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D494F"/>
    <w:multiLevelType w:val="hybridMultilevel"/>
    <w:tmpl w:val="94528EF6"/>
    <w:lvl w:ilvl="0" w:tplc="FDC88AFE">
      <w:start w:val="1"/>
      <w:numFmt w:val="upperRoman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63BE"/>
    <w:multiLevelType w:val="hybridMultilevel"/>
    <w:tmpl w:val="D9A2D83E"/>
    <w:lvl w:ilvl="0" w:tplc="74CAE7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DE54DC"/>
    <w:multiLevelType w:val="hybridMultilevel"/>
    <w:tmpl w:val="72245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610516"/>
    <w:multiLevelType w:val="hybridMultilevel"/>
    <w:tmpl w:val="96723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41623"/>
    <w:multiLevelType w:val="hybridMultilevel"/>
    <w:tmpl w:val="D4BE1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1741B"/>
    <w:multiLevelType w:val="hybridMultilevel"/>
    <w:tmpl w:val="E132F220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0C5A25"/>
    <w:multiLevelType w:val="hybridMultilevel"/>
    <w:tmpl w:val="8ADC8E62"/>
    <w:lvl w:ilvl="0" w:tplc="E8C670E4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5E550B"/>
    <w:multiLevelType w:val="hybridMultilevel"/>
    <w:tmpl w:val="26C6D14E"/>
    <w:lvl w:ilvl="0" w:tplc="7B1C3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465FE6"/>
    <w:multiLevelType w:val="hybridMultilevel"/>
    <w:tmpl w:val="77A6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FA6AB6"/>
    <w:multiLevelType w:val="hybridMultilevel"/>
    <w:tmpl w:val="10500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8774C2"/>
    <w:multiLevelType w:val="hybridMultilevel"/>
    <w:tmpl w:val="1CE83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4439D"/>
    <w:multiLevelType w:val="hybridMultilevel"/>
    <w:tmpl w:val="492A5080"/>
    <w:lvl w:ilvl="0" w:tplc="BE7041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B02C6"/>
    <w:multiLevelType w:val="hybridMultilevel"/>
    <w:tmpl w:val="0ADCECA4"/>
    <w:lvl w:ilvl="0" w:tplc="1EA634D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63E6A"/>
    <w:multiLevelType w:val="hybridMultilevel"/>
    <w:tmpl w:val="3AE23AB2"/>
    <w:lvl w:ilvl="0" w:tplc="3BFA4F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D06D3"/>
    <w:multiLevelType w:val="hybridMultilevel"/>
    <w:tmpl w:val="F1DAE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E260E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26"/>
  </w:num>
  <w:num w:numId="5">
    <w:abstractNumId w:val="14"/>
  </w:num>
  <w:num w:numId="6">
    <w:abstractNumId w:val="33"/>
  </w:num>
  <w:num w:numId="7">
    <w:abstractNumId w:val="0"/>
  </w:num>
  <w:num w:numId="8">
    <w:abstractNumId w:val="6"/>
  </w:num>
  <w:num w:numId="9">
    <w:abstractNumId w:val="34"/>
  </w:num>
  <w:num w:numId="10">
    <w:abstractNumId w:val="7"/>
  </w:num>
  <w:num w:numId="11">
    <w:abstractNumId w:val="10"/>
  </w:num>
  <w:num w:numId="12">
    <w:abstractNumId w:val="27"/>
  </w:num>
  <w:num w:numId="13">
    <w:abstractNumId w:val="4"/>
  </w:num>
  <w:num w:numId="14">
    <w:abstractNumId w:val="40"/>
  </w:num>
  <w:num w:numId="15">
    <w:abstractNumId w:val="18"/>
  </w:num>
  <w:num w:numId="16">
    <w:abstractNumId w:val="15"/>
  </w:num>
  <w:num w:numId="17">
    <w:abstractNumId w:val="31"/>
  </w:num>
  <w:num w:numId="18">
    <w:abstractNumId w:val="25"/>
  </w:num>
  <w:num w:numId="19">
    <w:abstractNumId w:val="9"/>
  </w:num>
  <w:num w:numId="20">
    <w:abstractNumId w:val="30"/>
  </w:num>
  <w:num w:numId="21">
    <w:abstractNumId w:val="1"/>
  </w:num>
  <w:num w:numId="22">
    <w:abstractNumId w:val="12"/>
  </w:num>
  <w:num w:numId="23">
    <w:abstractNumId w:val="29"/>
  </w:num>
  <w:num w:numId="24">
    <w:abstractNumId w:val="39"/>
  </w:num>
  <w:num w:numId="25">
    <w:abstractNumId w:val="11"/>
  </w:num>
  <w:num w:numId="26">
    <w:abstractNumId w:val="23"/>
  </w:num>
  <w:num w:numId="27">
    <w:abstractNumId w:val="19"/>
  </w:num>
  <w:num w:numId="28">
    <w:abstractNumId w:val="22"/>
  </w:num>
  <w:num w:numId="29">
    <w:abstractNumId w:val="13"/>
  </w:num>
  <w:num w:numId="30">
    <w:abstractNumId w:val="32"/>
  </w:num>
  <w:num w:numId="31">
    <w:abstractNumId w:val="16"/>
  </w:num>
  <w:num w:numId="32">
    <w:abstractNumId w:val="25"/>
    <w:lvlOverride w:ilvl="0">
      <w:startOverride w:val="1"/>
    </w:lvlOverride>
  </w:num>
  <w:num w:numId="33">
    <w:abstractNumId w:val="20"/>
  </w:num>
  <w:num w:numId="34">
    <w:abstractNumId w:val="24"/>
  </w:num>
  <w:num w:numId="35">
    <w:abstractNumId w:val="5"/>
  </w:num>
  <w:num w:numId="36">
    <w:abstractNumId w:val="36"/>
  </w:num>
  <w:num w:numId="37">
    <w:abstractNumId w:val="8"/>
  </w:num>
  <w:num w:numId="38">
    <w:abstractNumId w:val="37"/>
  </w:num>
  <w:num w:numId="39">
    <w:abstractNumId w:val="2"/>
  </w:num>
  <w:num w:numId="40">
    <w:abstractNumId w:val="38"/>
  </w:num>
  <w:num w:numId="41">
    <w:abstractNumId w:val="28"/>
  </w:num>
  <w:num w:numId="42">
    <w:abstractNumId w:val="3"/>
  </w:num>
  <w:num w:numId="43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FCF"/>
    <w:rsid w:val="000116D5"/>
    <w:rsid w:val="0002393E"/>
    <w:rsid w:val="00026A5E"/>
    <w:rsid w:val="00031CA3"/>
    <w:rsid w:val="00036BBB"/>
    <w:rsid w:val="00050F41"/>
    <w:rsid w:val="000637FF"/>
    <w:rsid w:val="00070A51"/>
    <w:rsid w:val="00072ED6"/>
    <w:rsid w:val="00073B85"/>
    <w:rsid w:val="000811EE"/>
    <w:rsid w:val="00090414"/>
    <w:rsid w:val="00094C91"/>
    <w:rsid w:val="000959A5"/>
    <w:rsid w:val="00095A22"/>
    <w:rsid w:val="000A084F"/>
    <w:rsid w:val="000C1218"/>
    <w:rsid w:val="000C2260"/>
    <w:rsid w:val="000E0D53"/>
    <w:rsid w:val="000E2402"/>
    <w:rsid w:val="000E2CBF"/>
    <w:rsid w:val="000E4197"/>
    <w:rsid w:val="00113FA0"/>
    <w:rsid w:val="001233A4"/>
    <w:rsid w:val="00124BE3"/>
    <w:rsid w:val="00145933"/>
    <w:rsid w:val="0018507D"/>
    <w:rsid w:val="00195EA0"/>
    <w:rsid w:val="001A1B1A"/>
    <w:rsid w:val="001A3F35"/>
    <w:rsid w:val="001A7D97"/>
    <w:rsid w:val="001C0427"/>
    <w:rsid w:val="001C2851"/>
    <w:rsid w:val="001C3489"/>
    <w:rsid w:val="001C3D20"/>
    <w:rsid w:val="001C63F4"/>
    <w:rsid w:val="001E2DD3"/>
    <w:rsid w:val="001E647F"/>
    <w:rsid w:val="001F0083"/>
    <w:rsid w:val="001F0658"/>
    <w:rsid w:val="002169AA"/>
    <w:rsid w:val="00225322"/>
    <w:rsid w:val="00237A6C"/>
    <w:rsid w:val="00261CE4"/>
    <w:rsid w:val="0026201E"/>
    <w:rsid w:val="00272CA8"/>
    <w:rsid w:val="0027559B"/>
    <w:rsid w:val="00276147"/>
    <w:rsid w:val="00277258"/>
    <w:rsid w:val="002775B7"/>
    <w:rsid w:val="002828DB"/>
    <w:rsid w:val="00290F3C"/>
    <w:rsid w:val="00293F78"/>
    <w:rsid w:val="002A46A2"/>
    <w:rsid w:val="002A6F3B"/>
    <w:rsid w:val="002A76DE"/>
    <w:rsid w:val="002D08B1"/>
    <w:rsid w:val="002D3CA5"/>
    <w:rsid w:val="002D3FFB"/>
    <w:rsid w:val="002E09E7"/>
    <w:rsid w:val="002E1E63"/>
    <w:rsid w:val="002E617F"/>
    <w:rsid w:val="002F6005"/>
    <w:rsid w:val="002F6B15"/>
    <w:rsid w:val="00302CBB"/>
    <w:rsid w:val="003156E3"/>
    <w:rsid w:val="00340AA6"/>
    <w:rsid w:val="00341A5D"/>
    <w:rsid w:val="003477A7"/>
    <w:rsid w:val="00353190"/>
    <w:rsid w:val="00366C14"/>
    <w:rsid w:val="00375B26"/>
    <w:rsid w:val="0038215F"/>
    <w:rsid w:val="003C390B"/>
    <w:rsid w:val="003D429A"/>
    <w:rsid w:val="003D53D4"/>
    <w:rsid w:val="003D6B4B"/>
    <w:rsid w:val="003E076C"/>
    <w:rsid w:val="003F1DAF"/>
    <w:rsid w:val="00403758"/>
    <w:rsid w:val="004052C4"/>
    <w:rsid w:val="00410544"/>
    <w:rsid w:val="00444542"/>
    <w:rsid w:val="004467EE"/>
    <w:rsid w:val="004627A7"/>
    <w:rsid w:val="004631BE"/>
    <w:rsid w:val="004673D9"/>
    <w:rsid w:val="00475AEB"/>
    <w:rsid w:val="004769B4"/>
    <w:rsid w:val="00476B45"/>
    <w:rsid w:val="00494D3E"/>
    <w:rsid w:val="004A3B34"/>
    <w:rsid w:val="004A5397"/>
    <w:rsid w:val="004A7731"/>
    <w:rsid w:val="004B09BE"/>
    <w:rsid w:val="004E220B"/>
    <w:rsid w:val="004E3CDC"/>
    <w:rsid w:val="005034C4"/>
    <w:rsid w:val="005131EB"/>
    <w:rsid w:val="00516437"/>
    <w:rsid w:val="00523214"/>
    <w:rsid w:val="00523B53"/>
    <w:rsid w:val="005309C7"/>
    <w:rsid w:val="00540C83"/>
    <w:rsid w:val="00540E77"/>
    <w:rsid w:val="00545CD2"/>
    <w:rsid w:val="005713BC"/>
    <w:rsid w:val="00584B4C"/>
    <w:rsid w:val="0058757C"/>
    <w:rsid w:val="00596560"/>
    <w:rsid w:val="005A24C4"/>
    <w:rsid w:val="005A2DF9"/>
    <w:rsid w:val="005E2DF9"/>
    <w:rsid w:val="005E6702"/>
    <w:rsid w:val="00612DEE"/>
    <w:rsid w:val="006174D4"/>
    <w:rsid w:val="00622F87"/>
    <w:rsid w:val="00624434"/>
    <w:rsid w:val="006249A5"/>
    <w:rsid w:val="00657F44"/>
    <w:rsid w:val="00664C4D"/>
    <w:rsid w:val="00680E88"/>
    <w:rsid w:val="00691817"/>
    <w:rsid w:val="00694825"/>
    <w:rsid w:val="00694BF0"/>
    <w:rsid w:val="0069676A"/>
    <w:rsid w:val="006A0336"/>
    <w:rsid w:val="006A20BA"/>
    <w:rsid w:val="006C576D"/>
    <w:rsid w:val="006E1C85"/>
    <w:rsid w:val="006E2B2A"/>
    <w:rsid w:val="006E4FB9"/>
    <w:rsid w:val="006E58A2"/>
    <w:rsid w:val="006F10F9"/>
    <w:rsid w:val="006F75B7"/>
    <w:rsid w:val="00714107"/>
    <w:rsid w:val="0071473D"/>
    <w:rsid w:val="00733878"/>
    <w:rsid w:val="00733921"/>
    <w:rsid w:val="00737BEB"/>
    <w:rsid w:val="00742A0F"/>
    <w:rsid w:val="00743B6D"/>
    <w:rsid w:val="00744A1D"/>
    <w:rsid w:val="007452F8"/>
    <w:rsid w:val="00750481"/>
    <w:rsid w:val="007838B9"/>
    <w:rsid w:val="00790B40"/>
    <w:rsid w:val="00793160"/>
    <w:rsid w:val="007A30F8"/>
    <w:rsid w:val="007C32F5"/>
    <w:rsid w:val="007C39BB"/>
    <w:rsid w:val="007D7180"/>
    <w:rsid w:val="007E26AE"/>
    <w:rsid w:val="008069ED"/>
    <w:rsid w:val="00831E1D"/>
    <w:rsid w:val="00834D5E"/>
    <w:rsid w:val="00842624"/>
    <w:rsid w:val="00852A36"/>
    <w:rsid w:val="00865CB6"/>
    <w:rsid w:val="00880078"/>
    <w:rsid w:val="00885553"/>
    <w:rsid w:val="008C2EBB"/>
    <w:rsid w:val="008E6999"/>
    <w:rsid w:val="008F427D"/>
    <w:rsid w:val="008F5544"/>
    <w:rsid w:val="008F6D98"/>
    <w:rsid w:val="00931998"/>
    <w:rsid w:val="00937EFF"/>
    <w:rsid w:val="00943A85"/>
    <w:rsid w:val="009511FB"/>
    <w:rsid w:val="00962925"/>
    <w:rsid w:val="00963DD2"/>
    <w:rsid w:val="0097231A"/>
    <w:rsid w:val="009B7999"/>
    <w:rsid w:val="009C399C"/>
    <w:rsid w:val="009D4CFE"/>
    <w:rsid w:val="009F2730"/>
    <w:rsid w:val="009F2DCD"/>
    <w:rsid w:val="009F62D0"/>
    <w:rsid w:val="00A001AE"/>
    <w:rsid w:val="00A272DF"/>
    <w:rsid w:val="00A3121F"/>
    <w:rsid w:val="00A3281F"/>
    <w:rsid w:val="00A35CCB"/>
    <w:rsid w:val="00A50F78"/>
    <w:rsid w:val="00A566E0"/>
    <w:rsid w:val="00A91C09"/>
    <w:rsid w:val="00AA232F"/>
    <w:rsid w:val="00AB693F"/>
    <w:rsid w:val="00AC4778"/>
    <w:rsid w:val="00AD2269"/>
    <w:rsid w:val="00AD7F03"/>
    <w:rsid w:val="00AE0DBF"/>
    <w:rsid w:val="00B3421F"/>
    <w:rsid w:val="00B4196B"/>
    <w:rsid w:val="00B65D34"/>
    <w:rsid w:val="00B802E7"/>
    <w:rsid w:val="00B804DE"/>
    <w:rsid w:val="00B95CFB"/>
    <w:rsid w:val="00BA066A"/>
    <w:rsid w:val="00BB1BF0"/>
    <w:rsid w:val="00BB33C9"/>
    <w:rsid w:val="00BC1CC5"/>
    <w:rsid w:val="00BE34ED"/>
    <w:rsid w:val="00BE6C52"/>
    <w:rsid w:val="00C117AE"/>
    <w:rsid w:val="00C2389E"/>
    <w:rsid w:val="00C2706F"/>
    <w:rsid w:val="00C333D4"/>
    <w:rsid w:val="00C3568D"/>
    <w:rsid w:val="00C544C1"/>
    <w:rsid w:val="00C708BA"/>
    <w:rsid w:val="00C744D1"/>
    <w:rsid w:val="00CC6DED"/>
    <w:rsid w:val="00CC767B"/>
    <w:rsid w:val="00CF4056"/>
    <w:rsid w:val="00D02CBB"/>
    <w:rsid w:val="00D35AB5"/>
    <w:rsid w:val="00D424E3"/>
    <w:rsid w:val="00D520CE"/>
    <w:rsid w:val="00D543E1"/>
    <w:rsid w:val="00D55A89"/>
    <w:rsid w:val="00D62853"/>
    <w:rsid w:val="00D66C1D"/>
    <w:rsid w:val="00D80024"/>
    <w:rsid w:val="00D80CA2"/>
    <w:rsid w:val="00D91D97"/>
    <w:rsid w:val="00D95B2A"/>
    <w:rsid w:val="00DB673A"/>
    <w:rsid w:val="00DD17DC"/>
    <w:rsid w:val="00DE23F9"/>
    <w:rsid w:val="00E03F57"/>
    <w:rsid w:val="00E04CF2"/>
    <w:rsid w:val="00E31C41"/>
    <w:rsid w:val="00E378C3"/>
    <w:rsid w:val="00E44D1E"/>
    <w:rsid w:val="00E5477D"/>
    <w:rsid w:val="00E56DB2"/>
    <w:rsid w:val="00E76FCF"/>
    <w:rsid w:val="00E7711A"/>
    <w:rsid w:val="00E86163"/>
    <w:rsid w:val="00EB268C"/>
    <w:rsid w:val="00EC05A7"/>
    <w:rsid w:val="00EC74E5"/>
    <w:rsid w:val="00ED6B54"/>
    <w:rsid w:val="00F0169C"/>
    <w:rsid w:val="00F03889"/>
    <w:rsid w:val="00F22E9D"/>
    <w:rsid w:val="00F25ECE"/>
    <w:rsid w:val="00F30242"/>
    <w:rsid w:val="00F67C66"/>
    <w:rsid w:val="00F71591"/>
    <w:rsid w:val="00F751E6"/>
    <w:rsid w:val="00F920B0"/>
    <w:rsid w:val="00FB0049"/>
    <w:rsid w:val="00FB3A9B"/>
    <w:rsid w:val="00FC6566"/>
    <w:rsid w:val="00FD3A85"/>
    <w:rsid w:val="00FD5C6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3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7DF87B3CA14CB66C9A1699C4C418" ma:contentTypeVersion="0" ma:contentTypeDescription="Create a new document." ma:contentTypeScope="" ma:versionID="39cd354f8c2783be49d899a50c4e6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839-B9E9-4ED7-BE4C-0A1AAA12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B38F6-3C79-4469-A8B9-C45F1AD226E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5FD07-63B8-4061-9732-32FD43E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7BA82-7A4A-4272-A8C5-75207BE0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3798</CharactersWithSpaces>
  <SharedDoc>false</SharedDoc>
  <HLinks>
    <vt:vector size="42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_Toc322683957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_Toc322683956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</dc:creator>
  <cp:lastModifiedBy>Sailer, Sheryl T.</cp:lastModifiedBy>
  <cp:revision>2</cp:revision>
  <cp:lastPrinted>2015-09-04T16:23:00Z</cp:lastPrinted>
  <dcterms:created xsi:type="dcterms:W3CDTF">2016-02-25T16:25:00Z</dcterms:created>
  <dcterms:modified xsi:type="dcterms:W3CDTF">2016-02-25T16:25:00Z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0x010100B1AD7DF87B3CA14CB66C9A1699C4C418</vt:lpwstr>
  </property>
</Properties>
</file>