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DD2" w:rsidRPr="00733878" w:rsidRDefault="00733878" w:rsidP="00733878">
      <w:pPr>
        <w:pStyle w:val="DOB1"/>
        <w:rPr>
          <w:rFonts w:eastAsia="Calibri"/>
        </w:rPr>
      </w:pPr>
      <w:r w:rsidRPr="00733878">
        <w:t>Entity Name:</w:t>
      </w:r>
      <w:r w:rsidR="00963DD2" w:rsidRPr="00733878">
        <w:rPr>
          <w:rFonts w:eastAsia="Calibri"/>
        </w:rPr>
        <w:tab/>
        <w:t xml:space="preserve">Prepared by: </w:t>
      </w:r>
    </w:p>
    <w:p w:rsidR="00963DD2" w:rsidRPr="00733878" w:rsidRDefault="0071473D" w:rsidP="00733878">
      <w:pPr>
        <w:pStyle w:val="DOB2"/>
      </w:pPr>
      <w:r>
        <w:t>NMLS/</w:t>
      </w:r>
      <w:r w:rsidR="00963DD2" w:rsidRPr="00733878">
        <w:t xml:space="preserve">License Number: </w:t>
      </w:r>
      <w:r w:rsidR="002A6F3B" w:rsidRPr="00733878">
        <w:fldChar w:fldCharType="begin">
          <w:ffData>
            <w:name w:val=""/>
            <w:enabled/>
            <w:calcOnExit w:val="0"/>
            <w:textInput>
              <w:maxLength w:val="10"/>
            </w:textInput>
          </w:ffData>
        </w:fldChar>
      </w:r>
      <w:r w:rsidR="00963DD2" w:rsidRPr="00733878">
        <w:instrText xml:space="preserve"> FORMTEXT </w:instrText>
      </w:r>
      <w:r w:rsidR="002A6F3B" w:rsidRPr="00733878">
        <w:fldChar w:fldCharType="separate"/>
      </w:r>
      <w:r w:rsidR="00963DD2" w:rsidRPr="00733878">
        <w:rPr>
          <w:rFonts w:hAnsi="Arial" w:cs="Arial"/>
        </w:rPr>
        <w:t> </w:t>
      </w:r>
      <w:r w:rsidR="00963DD2" w:rsidRPr="00733878">
        <w:rPr>
          <w:rFonts w:hAnsi="Arial" w:cs="Arial"/>
        </w:rPr>
        <w:t> </w:t>
      </w:r>
      <w:r w:rsidR="00963DD2" w:rsidRPr="00733878">
        <w:rPr>
          <w:rFonts w:hAnsi="Arial" w:cs="Arial"/>
        </w:rPr>
        <w:t> </w:t>
      </w:r>
      <w:r w:rsidR="00963DD2" w:rsidRPr="00733878">
        <w:rPr>
          <w:rFonts w:hAnsi="Arial" w:cs="Arial"/>
        </w:rPr>
        <w:t> </w:t>
      </w:r>
      <w:r w:rsidR="00963DD2" w:rsidRPr="00733878">
        <w:rPr>
          <w:rFonts w:hAnsi="Arial" w:cs="Arial"/>
        </w:rPr>
        <w:t> </w:t>
      </w:r>
      <w:r w:rsidR="002A6F3B" w:rsidRPr="00733878">
        <w:fldChar w:fldCharType="end"/>
      </w:r>
      <w:r w:rsidR="00963DD2" w:rsidRPr="00733878">
        <w:tab/>
        <w:t xml:space="preserve">Date: </w:t>
      </w:r>
    </w:p>
    <w:tbl>
      <w:tblPr>
        <w:tblW w:w="0" w:type="auto"/>
        <w:tblBorders>
          <w:top w:val="single" w:sz="18" w:space="0" w:color="auto"/>
        </w:tblBorders>
        <w:tblLook w:val="04A0" w:firstRow="1" w:lastRow="0" w:firstColumn="1" w:lastColumn="0" w:noHBand="0" w:noVBand="1"/>
      </w:tblPr>
      <w:tblGrid>
        <w:gridCol w:w="13158"/>
      </w:tblGrid>
      <w:tr w:rsidR="00963DD2" w:rsidRPr="00963DD2" w:rsidTr="005309C7">
        <w:tc>
          <w:tcPr>
            <w:tcW w:w="13158" w:type="dxa"/>
          </w:tcPr>
          <w:p w:rsidR="00963DD2" w:rsidRPr="005E2DF9" w:rsidRDefault="00963DD2" w:rsidP="00963DD2">
            <w:pPr>
              <w:rPr>
                <w:b/>
                <w:szCs w:val="24"/>
              </w:rPr>
            </w:pPr>
          </w:p>
        </w:tc>
      </w:tr>
    </w:tbl>
    <w:p w:rsidR="000959A5" w:rsidRPr="00596560" w:rsidRDefault="00D80024" w:rsidP="00D80024">
      <w:pPr>
        <w:rPr>
          <w:rFonts w:ascii="Calibri" w:hAnsi="Calibri" w:cs="Calibri"/>
          <w:szCs w:val="24"/>
        </w:rPr>
      </w:pPr>
      <w:r w:rsidRPr="00596560">
        <w:rPr>
          <w:rFonts w:ascii="Calibri" w:hAnsi="Calibri" w:cs="Calibri"/>
          <w:szCs w:val="24"/>
        </w:rPr>
        <w:t>Examiners should use this template to evaluate the entity’s compliance management system.</w:t>
      </w:r>
      <w:r w:rsidR="00793160" w:rsidRPr="00596560">
        <w:rPr>
          <w:rFonts w:ascii="Calibri" w:hAnsi="Calibri" w:cs="Calibri"/>
          <w:szCs w:val="24"/>
        </w:rPr>
        <w:t xml:space="preserve"> </w:t>
      </w:r>
      <w:r w:rsidRPr="00596560">
        <w:rPr>
          <w:rFonts w:ascii="Calibri" w:hAnsi="Calibri" w:cs="Calibri"/>
          <w:szCs w:val="24"/>
        </w:rPr>
        <w:t xml:space="preserve">The review should cover the items listed below (and </w:t>
      </w:r>
      <w:r w:rsidR="002D3FFB" w:rsidRPr="00596560">
        <w:rPr>
          <w:rFonts w:ascii="Calibri" w:hAnsi="Calibri" w:cs="Calibri"/>
          <w:szCs w:val="24"/>
        </w:rPr>
        <w:t xml:space="preserve">detailed </w:t>
      </w:r>
      <w:r w:rsidRPr="00596560">
        <w:rPr>
          <w:rFonts w:ascii="Calibri" w:hAnsi="Calibri" w:cs="Calibri"/>
          <w:szCs w:val="24"/>
        </w:rPr>
        <w:t>on the following pages) that are the common elements of an effective compliance management program.</w:t>
      </w:r>
    </w:p>
    <w:p w:rsidR="0002393E" w:rsidRPr="00596560" w:rsidRDefault="002A6F3B" w:rsidP="0002393E">
      <w:pPr>
        <w:pStyle w:val="TOC1"/>
        <w:spacing w:after="576"/>
        <w:rPr>
          <w:rFonts w:ascii="Calibri" w:hAnsi="Calibri" w:cs="Calibri"/>
          <w:noProof/>
        </w:rPr>
      </w:pPr>
      <w:r w:rsidRPr="00596560">
        <w:rPr>
          <w:rFonts w:ascii="Calibri" w:hAnsi="Calibri" w:cs="Calibri"/>
          <w:szCs w:val="24"/>
        </w:rPr>
        <w:fldChar w:fldCharType="begin"/>
      </w:r>
      <w:r w:rsidR="0002393E" w:rsidRPr="00596560">
        <w:rPr>
          <w:rFonts w:ascii="Calibri" w:hAnsi="Calibri" w:cs="Calibri"/>
          <w:szCs w:val="24"/>
        </w:rPr>
        <w:instrText xml:space="preserve"> TOC \o "1-1" \h \z \u </w:instrText>
      </w:r>
      <w:r w:rsidRPr="00596560">
        <w:rPr>
          <w:rFonts w:ascii="Calibri" w:hAnsi="Calibri" w:cs="Calibri"/>
          <w:szCs w:val="24"/>
        </w:rPr>
        <w:fldChar w:fldCharType="separate"/>
      </w:r>
    </w:p>
    <w:p w:rsidR="0002393E" w:rsidRPr="00E7711A" w:rsidRDefault="003C24A5" w:rsidP="0002393E">
      <w:pPr>
        <w:pStyle w:val="TOC1"/>
        <w:spacing w:after="576"/>
        <w:rPr>
          <w:rStyle w:val="Hyperlink"/>
          <w:rFonts w:ascii="Calibri" w:hAnsi="Calibri" w:cs="Calibri"/>
          <w:noProof/>
          <w:color w:val="auto"/>
        </w:rPr>
      </w:pPr>
      <w:hyperlink w:anchor="_Toc322683954" w:history="1">
        <w:r w:rsidR="007C39BB" w:rsidRPr="00E7711A">
          <w:rPr>
            <w:rStyle w:val="Hyperlink"/>
            <w:rFonts w:ascii="Calibri" w:hAnsi="Calibri" w:cs="Calibri"/>
            <w:noProof/>
            <w:color w:val="auto"/>
          </w:rPr>
          <w:t>I</w:t>
        </w:r>
        <w:r w:rsidR="0002393E" w:rsidRPr="00E7711A">
          <w:rPr>
            <w:rStyle w:val="Hyperlink"/>
            <w:rFonts w:ascii="Calibri" w:hAnsi="Calibri" w:cs="Calibri"/>
            <w:noProof/>
            <w:color w:val="auto"/>
          </w:rPr>
          <w:t>.</w:t>
        </w:r>
        <w:r w:rsidR="0002393E" w:rsidRPr="00E7711A">
          <w:rPr>
            <w:rFonts w:ascii="Calibri" w:hAnsi="Calibri" w:cs="Calibri"/>
            <w:noProof/>
          </w:rPr>
          <w:tab/>
        </w:r>
        <w:r w:rsidR="0069676A" w:rsidRPr="00E7711A">
          <w:rPr>
            <w:rStyle w:val="Hyperlink"/>
            <w:rFonts w:ascii="Calibri" w:hAnsi="Calibri" w:cs="Calibri"/>
            <w:noProof/>
            <w:color w:val="auto"/>
          </w:rPr>
          <w:t>Compl</w:t>
        </w:r>
        <w:r w:rsidR="007C39BB" w:rsidRPr="00E7711A">
          <w:rPr>
            <w:rStyle w:val="Hyperlink"/>
            <w:rFonts w:ascii="Calibri" w:hAnsi="Calibri" w:cs="Calibri"/>
            <w:noProof/>
            <w:color w:val="auto"/>
          </w:rPr>
          <w:t>i</w:t>
        </w:r>
        <w:r w:rsidR="0069676A" w:rsidRPr="00E7711A">
          <w:rPr>
            <w:rStyle w:val="Hyperlink"/>
            <w:rFonts w:ascii="Calibri" w:hAnsi="Calibri" w:cs="Calibri"/>
            <w:noProof/>
            <w:color w:val="auto"/>
          </w:rPr>
          <w:t>a</w:t>
        </w:r>
        <w:r w:rsidR="007C39BB" w:rsidRPr="00E7711A">
          <w:rPr>
            <w:rStyle w:val="Hyperlink"/>
            <w:rFonts w:ascii="Calibri" w:hAnsi="Calibri" w:cs="Calibri"/>
            <w:noProof/>
            <w:color w:val="auto"/>
          </w:rPr>
          <w:t>nce Program</w:t>
        </w:r>
        <w:r w:rsidR="0002393E" w:rsidRPr="00E7711A">
          <w:rPr>
            <w:rFonts w:ascii="Calibri" w:hAnsi="Calibri" w:cs="Calibri"/>
            <w:noProof/>
            <w:webHidden/>
          </w:rPr>
          <w:tab/>
        </w:r>
        <w:r w:rsidR="002A6F3B" w:rsidRPr="00E7711A">
          <w:rPr>
            <w:rFonts w:ascii="Calibri" w:hAnsi="Calibri" w:cs="Calibri"/>
          </w:rPr>
          <w:fldChar w:fldCharType="begin">
            <w:ffData>
              <w:name w:val="Text1"/>
              <w:enabled/>
              <w:calcOnExit w:val="0"/>
              <w:textInput>
                <w:default w:val="[#]"/>
                <w:maxLength w:val="3"/>
              </w:textInput>
            </w:ffData>
          </w:fldChar>
        </w:r>
        <w:r w:rsidR="008F6D98" w:rsidRPr="00E7711A">
          <w:rPr>
            <w:rFonts w:ascii="Calibri" w:hAnsi="Calibri" w:cs="Calibri"/>
          </w:rPr>
          <w:instrText xml:space="preserve"> FORMTEXT </w:instrText>
        </w:r>
        <w:r w:rsidR="002A6F3B" w:rsidRPr="00E7711A">
          <w:rPr>
            <w:rFonts w:ascii="Calibri" w:hAnsi="Calibri" w:cs="Calibri"/>
          </w:rPr>
        </w:r>
        <w:r w:rsidR="002A6F3B" w:rsidRPr="00E7711A">
          <w:rPr>
            <w:rFonts w:ascii="Calibri" w:hAnsi="Calibri" w:cs="Calibri"/>
          </w:rPr>
          <w:fldChar w:fldCharType="separate"/>
        </w:r>
        <w:r w:rsidR="008F6D98" w:rsidRPr="00E7711A">
          <w:rPr>
            <w:rFonts w:ascii="Calibri" w:hAnsi="Calibri" w:cs="Calibri"/>
            <w:noProof/>
          </w:rPr>
          <w:t>[#]</w:t>
        </w:r>
        <w:r w:rsidR="002A6F3B" w:rsidRPr="00E7711A">
          <w:rPr>
            <w:rFonts w:ascii="Calibri" w:hAnsi="Calibri" w:cs="Calibri"/>
          </w:rPr>
          <w:fldChar w:fldCharType="end"/>
        </w:r>
      </w:hyperlink>
    </w:p>
    <w:p w:rsidR="003C24A5" w:rsidRPr="00E7711A" w:rsidRDefault="003C24A5" w:rsidP="003C24A5">
      <w:pPr>
        <w:pStyle w:val="TOC1"/>
        <w:tabs>
          <w:tab w:val="left" w:pos="1440"/>
        </w:tabs>
        <w:spacing w:after="576"/>
        <w:ind w:left="720"/>
        <w:rPr>
          <w:rStyle w:val="Hyperlink"/>
          <w:rFonts w:ascii="Calibri" w:hAnsi="Calibri" w:cs="Calibri"/>
          <w:noProof/>
          <w:color w:val="auto"/>
        </w:rPr>
      </w:pPr>
      <w:hyperlink w:anchor="_Toc322683954" w:history="1">
        <w:r w:rsidRPr="00E7711A">
          <w:rPr>
            <w:rStyle w:val="Hyperlink"/>
            <w:rFonts w:ascii="Calibri" w:hAnsi="Calibri" w:cs="Calibri"/>
            <w:noProof/>
            <w:color w:val="auto"/>
          </w:rPr>
          <w:t>A.</w:t>
        </w:r>
        <w:r w:rsidRPr="00E7711A">
          <w:rPr>
            <w:rFonts w:ascii="Calibri" w:hAnsi="Calibri" w:cs="Calibri"/>
            <w:noProof/>
          </w:rPr>
          <w:tab/>
        </w:r>
        <w:r>
          <w:rPr>
            <w:rStyle w:val="Hyperlink"/>
            <w:rFonts w:ascii="Calibri" w:hAnsi="Calibri" w:cs="Calibri"/>
            <w:noProof/>
            <w:color w:val="auto"/>
          </w:rPr>
          <w:t>Monitoring and Corrective Action</w:t>
        </w:r>
        <w:r w:rsidRPr="00E7711A">
          <w:rPr>
            <w:rFonts w:ascii="Calibri" w:hAnsi="Calibri" w:cs="Calibri"/>
            <w:noProof/>
            <w:webHidden/>
          </w:rPr>
          <w:tab/>
        </w:r>
        <w:r w:rsidRPr="00E7711A">
          <w:rPr>
            <w:rFonts w:ascii="Calibri" w:hAnsi="Calibri" w:cs="Calibri"/>
          </w:rPr>
          <w:fldChar w:fldCharType="begin">
            <w:ffData>
              <w:name w:val="Text1"/>
              <w:enabled/>
              <w:calcOnExit w:val="0"/>
              <w:textInput>
                <w:default w:val="[#]"/>
                <w:maxLength w:val="3"/>
              </w:textInput>
            </w:ffData>
          </w:fldChar>
        </w:r>
        <w:r w:rsidRPr="00E7711A">
          <w:rPr>
            <w:rFonts w:ascii="Calibri" w:hAnsi="Calibri" w:cs="Calibri"/>
          </w:rPr>
          <w:instrText xml:space="preserve"> FORMTEXT </w:instrText>
        </w:r>
        <w:r w:rsidRPr="00E7711A">
          <w:rPr>
            <w:rFonts w:ascii="Calibri" w:hAnsi="Calibri" w:cs="Calibri"/>
          </w:rPr>
        </w:r>
        <w:r w:rsidRPr="00E7711A">
          <w:rPr>
            <w:rFonts w:ascii="Calibri" w:hAnsi="Calibri" w:cs="Calibri"/>
          </w:rPr>
          <w:fldChar w:fldCharType="separate"/>
        </w:r>
        <w:r w:rsidRPr="00E7711A">
          <w:rPr>
            <w:rFonts w:ascii="Calibri" w:hAnsi="Calibri" w:cs="Calibri"/>
            <w:noProof/>
          </w:rPr>
          <w:t>[#]</w:t>
        </w:r>
        <w:r w:rsidRPr="00E7711A">
          <w:rPr>
            <w:rFonts w:ascii="Calibri" w:hAnsi="Calibri" w:cs="Calibri"/>
          </w:rPr>
          <w:fldChar w:fldCharType="end"/>
        </w:r>
      </w:hyperlink>
    </w:p>
    <w:p w:rsidR="007C39BB" w:rsidRDefault="003C24A5" w:rsidP="007C39BB">
      <w:pPr>
        <w:pStyle w:val="TOC1"/>
        <w:tabs>
          <w:tab w:val="left" w:pos="1440"/>
        </w:tabs>
        <w:spacing w:after="576"/>
        <w:ind w:left="720"/>
        <w:rPr>
          <w:rFonts w:ascii="Calibri" w:hAnsi="Calibri" w:cs="Calibri"/>
        </w:rPr>
      </w:pPr>
      <w:hyperlink w:anchor="_Toc322683954" w:history="1">
        <w:r w:rsidR="007C39BB" w:rsidRPr="00E7711A">
          <w:rPr>
            <w:rStyle w:val="Hyperlink"/>
            <w:rFonts w:ascii="Calibri" w:hAnsi="Calibri" w:cs="Calibri"/>
            <w:noProof/>
            <w:color w:val="auto"/>
          </w:rPr>
          <w:t>A</w:t>
        </w:r>
        <w:r>
          <w:rPr>
            <w:rStyle w:val="Hyperlink"/>
            <w:rFonts w:ascii="Calibri" w:hAnsi="Calibri" w:cs="Calibri"/>
            <w:noProof/>
            <w:color w:val="auto"/>
          </w:rPr>
          <w:t>-1</w:t>
        </w:r>
        <w:r w:rsidR="007C39BB" w:rsidRPr="00E7711A">
          <w:rPr>
            <w:rStyle w:val="Hyperlink"/>
            <w:rFonts w:ascii="Calibri" w:hAnsi="Calibri" w:cs="Calibri"/>
            <w:noProof/>
            <w:color w:val="auto"/>
          </w:rPr>
          <w:t>.</w:t>
        </w:r>
        <w:r w:rsidR="007C39BB" w:rsidRPr="00E7711A">
          <w:rPr>
            <w:rFonts w:ascii="Calibri" w:hAnsi="Calibri" w:cs="Calibri"/>
            <w:noProof/>
          </w:rPr>
          <w:tab/>
        </w:r>
        <w:r>
          <w:rPr>
            <w:rStyle w:val="Hyperlink"/>
            <w:rFonts w:ascii="Calibri" w:hAnsi="Calibri" w:cs="Calibri"/>
            <w:noProof/>
            <w:color w:val="auto"/>
          </w:rPr>
          <w:t>Exam report comment</w:t>
        </w:r>
        <w:r w:rsidR="007C39BB" w:rsidRPr="00E7711A">
          <w:rPr>
            <w:rFonts w:ascii="Calibri" w:hAnsi="Calibri" w:cs="Calibri"/>
            <w:noProof/>
            <w:webHidden/>
          </w:rPr>
          <w:tab/>
        </w:r>
        <w:r w:rsidR="002A6F3B" w:rsidRPr="00E7711A">
          <w:rPr>
            <w:rFonts w:ascii="Calibri" w:hAnsi="Calibri" w:cs="Calibri"/>
          </w:rPr>
          <w:fldChar w:fldCharType="begin">
            <w:ffData>
              <w:name w:val="Text1"/>
              <w:enabled/>
              <w:calcOnExit w:val="0"/>
              <w:textInput>
                <w:default w:val="[#]"/>
                <w:maxLength w:val="3"/>
              </w:textInput>
            </w:ffData>
          </w:fldChar>
        </w:r>
        <w:r w:rsidR="007C39BB" w:rsidRPr="00E7711A">
          <w:rPr>
            <w:rFonts w:ascii="Calibri" w:hAnsi="Calibri" w:cs="Calibri"/>
          </w:rPr>
          <w:instrText xml:space="preserve"> FORMTEXT </w:instrText>
        </w:r>
        <w:r w:rsidR="002A6F3B" w:rsidRPr="00E7711A">
          <w:rPr>
            <w:rFonts w:ascii="Calibri" w:hAnsi="Calibri" w:cs="Calibri"/>
          </w:rPr>
        </w:r>
        <w:r w:rsidR="002A6F3B" w:rsidRPr="00E7711A">
          <w:rPr>
            <w:rFonts w:ascii="Calibri" w:hAnsi="Calibri" w:cs="Calibri"/>
          </w:rPr>
          <w:fldChar w:fldCharType="separate"/>
        </w:r>
        <w:r w:rsidR="007C39BB" w:rsidRPr="00E7711A">
          <w:rPr>
            <w:rFonts w:ascii="Calibri" w:hAnsi="Calibri" w:cs="Calibri"/>
            <w:noProof/>
          </w:rPr>
          <w:t>[#]</w:t>
        </w:r>
        <w:r w:rsidR="002A6F3B" w:rsidRPr="00E7711A">
          <w:rPr>
            <w:rFonts w:ascii="Calibri" w:hAnsi="Calibri" w:cs="Calibri"/>
          </w:rPr>
          <w:fldChar w:fldCharType="end"/>
        </w:r>
      </w:hyperlink>
    </w:p>
    <w:p w:rsidR="003C24A5" w:rsidRPr="003C24A5" w:rsidRDefault="003C24A5" w:rsidP="003C24A5"/>
    <w:p w:rsidR="0002393E" w:rsidRDefault="002A6F3B" w:rsidP="00834D5E">
      <w:pPr>
        <w:tabs>
          <w:tab w:val="left" w:pos="720"/>
        </w:tabs>
        <w:spacing w:afterLines="240" w:after="576"/>
        <w:rPr>
          <w:szCs w:val="24"/>
        </w:rPr>
      </w:pPr>
      <w:r w:rsidRPr="00596560">
        <w:rPr>
          <w:rFonts w:ascii="Calibri" w:hAnsi="Calibri" w:cs="Calibri"/>
          <w:szCs w:val="24"/>
        </w:rPr>
        <w:fldChar w:fldCharType="end"/>
      </w:r>
    </w:p>
    <w:p w:rsidR="0002393E" w:rsidRPr="00793160" w:rsidRDefault="0002393E" w:rsidP="0002393E">
      <w:pPr>
        <w:rPr>
          <w:szCs w:val="24"/>
        </w:rPr>
        <w:sectPr w:rsidR="0002393E" w:rsidRPr="00793160" w:rsidSect="00963DD2">
          <w:headerReference w:type="default" r:id="rId12"/>
          <w:footerReference w:type="default" r:id="rId13"/>
          <w:headerReference w:type="first" r:id="rId14"/>
          <w:footerReference w:type="first" r:id="rId15"/>
          <w:pgSz w:w="15840" w:h="12240" w:orient="landscape"/>
          <w:pgMar w:top="1440" w:right="1440" w:bottom="1440" w:left="1440" w:header="720" w:footer="720" w:gutter="0"/>
          <w:cols w:space="720"/>
          <w:titlePg/>
          <w:docGrid w:linePitch="360"/>
        </w:sectPr>
      </w:pPr>
      <w:bookmarkStart w:id="0" w:name="_GoBack"/>
      <w:bookmarkEnd w:id="0"/>
    </w:p>
    <w:p w:rsidR="002E1E63" w:rsidRPr="00050F41" w:rsidRDefault="002E1E63" w:rsidP="002E1E63">
      <w:pPr>
        <w:rPr>
          <w:rFonts w:ascii="Calibri" w:hAnsi="Calibri" w:cs="Calibri"/>
          <w:sz w:val="12"/>
        </w:rPr>
      </w:pPr>
    </w:p>
    <w:p w:rsidR="00FB0049" w:rsidRDefault="00FB0049">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6480"/>
      </w:tblGrid>
      <w:tr w:rsidR="00624434" w:rsidRPr="00050F41" w:rsidTr="00624434">
        <w:tc>
          <w:tcPr>
            <w:tcW w:w="12960" w:type="dxa"/>
            <w:gridSpan w:val="2"/>
            <w:tcBorders>
              <w:top w:val="single" w:sz="4" w:space="0" w:color="auto"/>
              <w:left w:val="single" w:sz="4" w:space="0" w:color="auto"/>
              <w:bottom w:val="single" w:sz="4" w:space="0" w:color="auto"/>
              <w:right w:val="single" w:sz="4" w:space="0" w:color="auto"/>
            </w:tcBorders>
            <w:shd w:val="clear" w:color="auto" w:fill="D9D9D9"/>
          </w:tcPr>
          <w:p w:rsidR="00624434" w:rsidRPr="00523214" w:rsidRDefault="00523214" w:rsidP="00523214">
            <w:pPr>
              <w:pStyle w:val="Heading1"/>
              <w:numPr>
                <w:ilvl w:val="0"/>
                <w:numId w:val="43"/>
              </w:numPr>
              <w:rPr>
                <w:rFonts w:cs="Calibri"/>
              </w:rPr>
            </w:pPr>
            <w:r>
              <w:rPr>
                <w:rFonts w:cs="Calibri"/>
              </w:rPr>
              <w:t xml:space="preserve"> </w:t>
            </w:r>
            <w:r w:rsidRPr="00624434">
              <w:rPr>
                <w:rFonts w:cs="Calibri"/>
              </w:rPr>
              <w:t xml:space="preserve">Examination Procedures </w:t>
            </w:r>
            <w:r>
              <w:rPr>
                <w:rFonts w:cs="Calibri"/>
              </w:rPr>
              <w:t>–</w:t>
            </w:r>
            <w:r w:rsidRPr="00624434">
              <w:rPr>
                <w:rFonts w:cs="Calibri"/>
              </w:rPr>
              <w:t xml:space="preserve"> </w:t>
            </w:r>
            <w:r>
              <w:rPr>
                <w:rFonts w:cs="Calibri"/>
              </w:rPr>
              <w:t>Compliance Program</w:t>
            </w:r>
          </w:p>
        </w:tc>
      </w:tr>
      <w:tr w:rsidR="00FB0049" w:rsidRPr="00050F41" w:rsidTr="00793160">
        <w:tc>
          <w:tcPr>
            <w:tcW w:w="12960" w:type="dxa"/>
            <w:gridSpan w:val="2"/>
            <w:shd w:val="clear" w:color="auto" w:fill="D9D9D9"/>
          </w:tcPr>
          <w:p w:rsidR="00FB0049" w:rsidRPr="00624434" w:rsidRDefault="00FB0049" w:rsidP="00624434">
            <w:pPr>
              <w:pStyle w:val="Heading1"/>
              <w:numPr>
                <w:ilvl w:val="0"/>
                <w:numId w:val="33"/>
              </w:numPr>
              <w:ind w:hanging="720"/>
              <w:rPr>
                <w:rFonts w:ascii="Calibri" w:hAnsi="Calibri" w:cs="Calibri"/>
                <w:iCs/>
              </w:rPr>
            </w:pPr>
            <w:bookmarkStart w:id="1" w:name="_Toc322683953"/>
            <w:r w:rsidRPr="00624434">
              <w:rPr>
                <w:rFonts w:ascii="Calibri" w:hAnsi="Calibri" w:cs="Calibri"/>
              </w:rPr>
              <w:t xml:space="preserve">Examination Procedures </w:t>
            </w:r>
            <w:r w:rsidR="00ED6B54">
              <w:rPr>
                <w:rFonts w:ascii="Calibri" w:hAnsi="Calibri" w:cs="Calibri"/>
              </w:rPr>
              <w:t>–</w:t>
            </w:r>
            <w:r w:rsidRPr="00624434">
              <w:rPr>
                <w:rFonts w:ascii="Calibri" w:hAnsi="Calibri" w:cs="Calibri"/>
              </w:rPr>
              <w:t xml:space="preserve"> </w:t>
            </w:r>
            <w:bookmarkEnd w:id="1"/>
            <w:r w:rsidR="00ED6B54">
              <w:rPr>
                <w:rFonts w:ascii="Calibri" w:hAnsi="Calibri" w:cs="Calibri"/>
              </w:rPr>
              <w:t>Monitoring and Corrective Action</w:t>
            </w:r>
          </w:p>
        </w:tc>
      </w:tr>
      <w:tr w:rsidR="00FB0049" w:rsidRPr="00050F41" w:rsidTr="00793160">
        <w:tc>
          <w:tcPr>
            <w:tcW w:w="6480" w:type="dxa"/>
            <w:shd w:val="clear" w:color="auto" w:fill="D9D9D9"/>
          </w:tcPr>
          <w:p w:rsidR="00FB0049" w:rsidRPr="00050F41" w:rsidRDefault="00ED6B54" w:rsidP="00FD5C6B">
            <w:pPr>
              <w:autoSpaceDE w:val="0"/>
              <w:autoSpaceDN w:val="0"/>
              <w:adjustRightInd w:val="0"/>
              <w:rPr>
                <w:rFonts w:ascii="Calibri" w:hAnsi="Calibri" w:cs="Calibri"/>
                <w:b/>
                <w:bCs/>
                <w:i/>
                <w:sz w:val="20"/>
              </w:rPr>
            </w:pPr>
            <w:r w:rsidRPr="00050F41">
              <w:rPr>
                <w:rFonts w:ascii="Calibri" w:hAnsi="Calibri" w:cs="Calibri"/>
                <w:b/>
                <w:i/>
                <w:sz w:val="20"/>
              </w:rPr>
              <w:t>To evaluation whether monitoring and audit programs are adequate and comprehensive, examiners should:</w:t>
            </w:r>
          </w:p>
        </w:tc>
        <w:tc>
          <w:tcPr>
            <w:tcW w:w="6480" w:type="dxa"/>
            <w:shd w:val="clear" w:color="auto" w:fill="D9D9D9"/>
          </w:tcPr>
          <w:p w:rsidR="00FB0049" w:rsidRPr="00050F41" w:rsidRDefault="00FB0049" w:rsidP="00FD5C6B">
            <w:pPr>
              <w:autoSpaceDE w:val="0"/>
              <w:autoSpaceDN w:val="0"/>
              <w:adjustRightInd w:val="0"/>
              <w:jc w:val="center"/>
              <w:rPr>
                <w:rFonts w:ascii="Calibri" w:hAnsi="Calibri" w:cs="Calibri"/>
                <w:b/>
                <w:bCs/>
                <w:i/>
                <w:sz w:val="20"/>
              </w:rPr>
            </w:pPr>
            <w:r w:rsidRPr="00050F41">
              <w:rPr>
                <w:rFonts w:ascii="Calibri" w:hAnsi="Calibri" w:cs="Calibri"/>
                <w:b/>
                <w:bCs/>
                <w:i/>
                <w:sz w:val="20"/>
              </w:rPr>
              <w:t>C</w:t>
            </w:r>
            <w:r w:rsidR="00D80CA2" w:rsidRPr="00050F41">
              <w:rPr>
                <w:rFonts w:ascii="Calibri" w:hAnsi="Calibri" w:cs="Calibri"/>
                <w:b/>
                <w:bCs/>
                <w:i/>
                <w:sz w:val="20"/>
              </w:rPr>
              <w:t>omments</w:t>
            </w:r>
          </w:p>
        </w:tc>
      </w:tr>
      <w:tr w:rsidR="00ED6B54" w:rsidRPr="00050F41" w:rsidTr="00793160">
        <w:tc>
          <w:tcPr>
            <w:tcW w:w="6480" w:type="dxa"/>
            <w:shd w:val="clear" w:color="auto" w:fill="auto"/>
          </w:tcPr>
          <w:p w:rsidR="00ED6B54" w:rsidRPr="00050F41" w:rsidRDefault="00ED6B54" w:rsidP="00346A3F">
            <w:pPr>
              <w:numPr>
                <w:ilvl w:val="0"/>
                <w:numId w:val="9"/>
              </w:numPr>
              <w:autoSpaceDE w:val="0"/>
              <w:autoSpaceDN w:val="0"/>
              <w:adjustRightInd w:val="0"/>
              <w:jc w:val="both"/>
              <w:rPr>
                <w:rFonts w:ascii="Calibri" w:hAnsi="Calibri" w:cs="Calibri"/>
              </w:rPr>
            </w:pPr>
            <w:r w:rsidRPr="00050F41">
              <w:rPr>
                <w:rFonts w:ascii="Calibri" w:hAnsi="Calibri" w:cs="Calibri"/>
              </w:rPr>
              <w:t>Determine the chief compliance officer’s role in the compliance monitoring element of the compliance program.</w:t>
            </w:r>
          </w:p>
        </w:tc>
        <w:tc>
          <w:tcPr>
            <w:tcW w:w="6480" w:type="dxa"/>
            <w:shd w:val="clear" w:color="auto" w:fill="auto"/>
          </w:tcPr>
          <w:p w:rsidR="00ED6B54" w:rsidRPr="00050F41" w:rsidRDefault="00ED6B54" w:rsidP="00FD5C6B">
            <w:pPr>
              <w:rPr>
                <w:rFonts w:ascii="Calibri" w:hAnsi="Calibri" w:cs="Calibri"/>
              </w:rPr>
            </w:pPr>
            <w:r w:rsidRPr="0047571A">
              <w:rPr>
                <w:rFonts w:ascii="Calibri" w:hAnsi="Calibri" w:cs="Calibri"/>
              </w:rPr>
              <w:fldChar w:fldCharType="begin">
                <w:ffData>
                  <w:name w:val="Text1"/>
                  <w:enabled/>
                  <w:calcOnExit w:val="0"/>
                  <w:textInput>
                    <w:default w:val="[Click&amp;type]"/>
                  </w:textInput>
                </w:ffData>
              </w:fldChar>
            </w:r>
            <w:r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Pr="0047571A">
              <w:rPr>
                <w:rFonts w:ascii="Calibri" w:hAnsi="Calibri" w:cs="Calibri"/>
                <w:noProof/>
              </w:rPr>
              <w:t>[Click&amp;type]</w:t>
            </w:r>
            <w:r w:rsidRPr="0047571A">
              <w:rPr>
                <w:rFonts w:ascii="Calibri" w:hAnsi="Calibri" w:cs="Calibri"/>
              </w:rPr>
              <w:fldChar w:fldCharType="end"/>
            </w:r>
          </w:p>
        </w:tc>
      </w:tr>
      <w:tr w:rsidR="00ED6B54" w:rsidRPr="00050F41" w:rsidTr="00793160">
        <w:tc>
          <w:tcPr>
            <w:tcW w:w="6480" w:type="dxa"/>
            <w:shd w:val="clear" w:color="auto" w:fill="auto"/>
          </w:tcPr>
          <w:p w:rsidR="00ED6B54" w:rsidRPr="00050F41" w:rsidRDefault="00ED6B54" w:rsidP="00346A3F">
            <w:pPr>
              <w:numPr>
                <w:ilvl w:val="0"/>
                <w:numId w:val="9"/>
              </w:numPr>
              <w:autoSpaceDE w:val="0"/>
              <w:autoSpaceDN w:val="0"/>
              <w:adjustRightInd w:val="0"/>
              <w:jc w:val="both"/>
              <w:rPr>
                <w:rFonts w:ascii="Calibri" w:hAnsi="Calibri" w:cs="Calibri"/>
              </w:rPr>
            </w:pPr>
            <w:r w:rsidRPr="00050F41">
              <w:rPr>
                <w:rFonts w:ascii="Calibri" w:hAnsi="Calibri" w:cs="Calibri"/>
              </w:rPr>
              <w:t>Request and review the monitoring and testing schedule for the current year or next 12 months and review the currency of reviews in process against the current schedule.</w:t>
            </w:r>
          </w:p>
        </w:tc>
        <w:tc>
          <w:tcPr>
            <w:tcW w:w="6480" w:type="dxa"/>
            <w:shd w:val="clear" w:color="auto" w:fill="auto"/>
          </w:tcPr>
          <w:p w:rsidR="00ED6B54" w:rsidRPr="00050F41" w:rsidRDefault="00ED6B54" w:rsidP="00FD5C6B">
            <w:pPr>
              <w:rPr>
                <w:rFonts w:ascii="Calibri" w:hAnsi="Calibri" w:cs="Calibri"/>
              </w:rPr>
            </w:pPr>
            <w:r w:rsidRPr="0047571A">
              <w:rPr>
                <w:rFonts w:ascii="Calibri" w:hAnsi="Calibri" w:cs="Calibri"/>
              </w:rPr>
              <w:fldChar w:fldCharType="begin">
                <w:ffData>
                  <w:name w:val="Text1"/>
                  <w:enabled/>
                  <w:calcOnExit w:val="0"/>
                  <w:textInput>
                    <w:default w:val="[Click&amp;type]"/>
                  </w:textInput>
                </w:ffData>
              </w:fldChar>
            </w:r>
            <w:r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Pr="0047571A">
              <w:rPr>
                <w:rFonts w:ascii="Calibri" w:hAnsi="Calibri" w:cs="Calibri"/>
                <w:noProof/>
              </w:rPr>
              <w:t>[Click&amp;type]</w:t>
            </w:r>
            <w:r w:rsidRPr="0047571A">
              <w:rPr>
                <w:rFonts w:ascii="Calibri" w:hAnsi="Calibri" w:cs="Calibri"/>
              </w:rPr>
              <w:fldChar w:fldCharType="end"/>
            </w:r>
          </w:p>
        </w:tc>
      </w:tr>
      <w:tr w:rsidR="00ED6B54" w:rsidRPr="00050F41" w:rsidTr="00793160">
        <w:tc>
          <w:tcPr>
            <w:tcW w:w="6480" w:type="dxa"/>
            <w:shd w:val="clear" w:color="auto" w:fill="auto"/>
          </w:tcPr>
          <w:p w:rsidR="00ED6B54" w:rsidRPr="00050F41" w:rsidRDefault="00ED6B54" w:rsidP="00346A3F">
            <w:pPr>
              <w:numPr>
                <w:ilvl w:val="0"/>
                <w:numId w:val="9"/>
              </w:numPr>
              <w:autoSpaceDE w:val="0"/>
              <w:autoSpaceDN w:val="0"/>
              <w:adjustRightInd w:val="0"/>
              <w:jc w:val="both"/>
              <w:rPr>
                <w:rFonts w:ascii="Calibri" w:hAnsi="Calibri" w:cs="Calibri"/>
              </w:rPr>
            </w:pPr>
            <w:r w:rsidRPr="00050F41">
              <w:rPr>
                <w:rFonts w:ascii="Calibri" w:hAnsi="Calibri" w:cs="Calibri"/>
              </w:rPr>
              <w:t>Request and review the risk assessments or other documents that led to the monitoring and testing program plan.</w:t>
            </w:r>
          </w:p>
        </w:tc>
        <w:tc>
          <w:tcPr>
            <w:tcW w:w="6480" w:type="dxa"/>
            <w:shd w:val="clear" w:color="auto" w:fill="auto"/>
          </w:tcPr>
          <w:p w:rsidR="00ED6B54" w:rsidRPr="00050F41" w:rsidRDefault="00ED6B54" w:rsidP="00880078">
            <w:pPr>
              <w:autoSpaceDE w:val="0"/>
              <w:autoSpaceDN w:val="0"/>
              <w:adjustRightInd w:val="0"/>
              <w:ind w:left="-18"/>
              <w:rPr>
                <w:rFonts w:ascii="Calibri" w:hAnsi="Calibri" w:cs="Calibri"/>
              </w:rPr>
            </w:pPr>
            <w:r w:rsidRPr="0047571A">
              <w:rPr>
                <w:rFonts w:ascii="Calibri" w:hAnsi="Calibri" w:cs="Calibri"/>
              </w:rPr>
              <w:fldChar w:fldCharType="begin">
                <w:ffData>
                  <w:name w:val="Text1"/>
                  <w:enabled/>
                  <w:calcOnExit w:val="0"/>
                  <w:textInput>
                    <w:default w:val="[Click&amp;type]"/>
                  </w:textInput>
                </w:ffData>
              </w:fldChar>
            </w:r>
            <w:r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Pr="0047571A">
              <w:rPr>
                <w:rFonts w:ascii="Calibri" w:hAnsi="Calibri" w:cs="Calibri"/>
                <w:noProof/>
              </w:rPr>
              <w:t>[Click&amp;type]</w:t>
            </w:r>
            <w:r w:rsidRPr="0047571A">
              <w:rPr>
                <w:rFonts w:ascii="Calibri" w:hAnsi="Calibri" w:cs="Calibri"/>
              </w:rPr>
              <w:fldChar w:fldCharType="end"/>
            </w:r>
          </w:p>
        </w:tc>
      </w:tr>
      <w:tr w:rsidR="00ED6B54" w:rsidRPr="00050F41" w:rsidTr="00793160">
        <w:tc>
          <w:tcPr>
            <w:tcW w:w="6480" w:type="dxa"/>
            <w:shd w:val="clear" w:color="auto" w:fill="auto"/>
          </w:tcPr>
          <w:p w:rsidR="00ED6B54" w:rsidRPr="00050F41" w:rsidRDefault="00ED6B54" w:rsidP="00346A3F">
            <w:pPr>
              <w:numPr>
                <w:ilvl w:val="0"/>
                <w:numId w:val="9"/>
              </w:numPr>
              <w:autoSpaceDE w:val="0"/>
              <w:autoSpaceDN w:val="0"/>
              <w:adjustRightInd w:val="0"/>
              <w:jc w:val="both"/>
              <w:rPr>
                <w:rFonts w:ascii="Calibri" w:hAnsi="Calibri" w:cs="Calibri"/>
              </w:rPr>
            </w:pPr>
            <w:r w:rsidRPr="00050F41">
              <w:rPr>
                <w:rFonts w:ascii="Calibri" w:hAnsi="Calibri" w:cs="Calibri"/>
              </w:rPr>
              <w:t>Discuss with the compliance officer or monitoring manager the coverage of service providers that have contact with consumers.</w:t>
            </w:r>
          </w:p>
        </w:tc>
        <w:tc>
          <w:tcPr>
            <w:tcW w:w="6480" w:type="dxa"/>
            <w:shd w:val="clear" w:color="auto" w:fill="auto"/>
          </w:tcPr>
          <w:p w:rsidR="00ED6B54" w:rsidRPr="00050F41" w:rsidRDefault="00ED6B54" w:rsidP="00FD5C6B">
            <w:pPr>
              <w:rPr>
                <w:rFonts w:ascii="Calibri" w:hAnsi="Calibri" w:cs="Calibri"/>
              </w:rPr>
            </w:pPr>
            <w:r w:rsidRPr="0047571A">
              <w:rPr>
                <w:rFonts w:ascii="Calibri" w:hAnsi="Calibri" w:cs="Calibri"/>
              </w:rPr>
              <w:fldChar w:fldCharType="begin">
                <w:ffData>
                  <w:name w:val="Text1"/>
                  <w:enabled/>
                  <w:calcOnExit w:val="0"/>
                  <w:textInput>
                    <w:default w:val="[Click&amp;type]"/>
                  </w:textInput>
                </w:ffData>
              </w:fldChar>
            </w:r>
            <w:r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Pr="0047571A">
              <w:rPr>
                <w:rFonts w:ascii="Calibri" w:hAnsi="Calibri" w:cs="Calibri"/>
                <w:noProof/>
              </w:rPr>
              <w:t>[Click&amp;type]</w:t>
            </w:r>
            <w:r w:rsidRPr="0047571A">
              <w:rPr>
                <w:rFonts w:ascii="Calibri" w:hAnsi="Calibri" w:cs="Calibri"/>
              </w:rPr>
              <w:fldChar w:fldCharType="end"/>
            </w:r>
          </w:p>
        </w:tc>
      </w:tr>
      <w:tr w:rsidR="00ED6B54" w:rsidRPr="00050F41" w:rsidTr="00793160">
        <w:tc>
          <w:tcPr>
            <w:tcW w:w="6480" w:type="dxa"/>
            <w:shd w:val="clear" w:color="auto" w:fill="auto"/>
          </w:tcPr>
          <w:p w:rsidR="00ED6B54" w:rsidRPr="00050F41" w:rsidRDefault="00ED6B54" w:rsidP="00346A3F">
            <w:pPr>
              <w:numPr>
                <w:ilvl w:val="0"/>
                <w:numId w:val="9"/>
              </w:numPr>
              <w:autoSpaceDE w:val="0"/>
              <w:autoSpaceDN w:val="0"/>
              <w:adjustRightInd w:val="0"/>
              <w:jc w:val="both"/>
              <w:rPr>
                <w:rFonts w:ascii="Calibri" w:hAnsi="Calibri" w:cs="Calibri"/>
              </w:rPr>
            </w:pPr>
            <w:r w:rsidRPr="00050F41">
              <w:rPr>
                <w:rFonts w:ascii="Calibri" w:hAnsi="Calibri" w:cs="Calibri"/>
              </w:rPr>
              <w:t>Determine whether and to what extent monitoring includes calculation tools, the content of consumer disclosures and notices, marketing materials, and scripts or guides for employee contacts with consumers.</w:t>
            </w:r>
          </w:p>
        </w:tc>
        <w:tc>
          <w:tcPr>
            <w:tcW w:w="6480" w:type="dxa"/>
            <w:shd w:val="clear" w:color="auto" w:fill="auto"/>
          </w:tcPr>
          <w:p w:rsidR="00ED6B54" w:rsidRPr="00050F41" w:rsidRDefault="00ED6B54" w:rsidP="00FD5C6B">
            <w:pPr>
              <w:rPr>
                <w:rFonts w:ascii="Calibri" w:hAnsi="Calibri" w:cs="Calibri"/>
              </w:rPr>
            </w:pPr>
            <w:r w:rsidRPr="0047571A">
              <w:rPr>
                <w:rFonts w:ascii="Calibri" w:hAnsi="Calibri" w:cs="Calibri"/>
              </w:rPr>
              <w:fldChar w:fldCharType="begin">
                <w:ffData>
                  <w:name w:val="Text1"/>
                  <w:enabled/>
                  <w:calcOnExit w:val="0"/>
                  <w:textInput>
                    <w:default w:val="[Click&amp;type]"/>
                  </w:textInput>
                </w:ffData>
              </w:fldChar>
            </w:r>
            <w:r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Pr="0047571A">
              <w:rPr>
                <w:rFonts w:ascii="Calibri" w:hAnsi="Calibri" w:cs="Calibri"/>
                <w:noProof/>
              </w:rPr>
              <w:t>[Click&amp;type]</w:t>
            </w:r>
            <w:r w:rsidRPr="0047571A">
              <w:rPr>
                <w:rFonts w:ascii="Calibri" w:hAnsi="Calibri" w:cs="Calibri"/>
              </w:rPr>
              <w:fldChar w:fldCharType="end"/>
            </w:r>
          </w:p>
        </w:tc>
      </w:tr>
      <w:tr w:rsidR="00ED6B54" w:rsidRPr="00050F41" w:rsidTr="00793160">
        <w:tc>
          <w:tcPr>
            <w:tcW w:w="6480" w:type="dxa"/>
            <w:shd w:val="clear" w:color="auto" w:fill="auto"/>
          </w:tcPr>
          <w:p w:rsidR="00ED6B54" w:rsidRPr="00050F41" w:rsidRDefault="00ED6B54" w:rsidP="00346A3F">
            <w:pPr>
              <w:numPr>
                <w:ilvl w:val="0"/>
                <w:numId w:val="9"/>
              </w:numPr>
              <w:autoSpaceDE w:val="0"/>
              <w:autoSpaceDN w:val="0"/>
              <w:adjustRightInd w:val="0"/>
              <w:jc w:val="both"/>
              <w:rPr>
                <w:rFonts w:ascii="Calibri" w:hAnsi="Calibri" w:cs="Calibri"/>
              </w:rPr>
            </w:pPr>
            <w:r w:rsidRPr="00050F41">
              <w:rPr>
                <w:rFonts w:ascii="Calibri" w:hAnsi="Calibri" w:cs="Calibri"/>
              </w:rPr>
              <w:t xml:space="preserve">Request and review all compliance monitoring, testing, and corrective action reports completed during a specific period of time. </w:t>
            </w:r>
          </w:p>
        </w:tc>
        <w:tc>
          <w:tcPr>
            <w:tcW w:w="6480" w:type="dxa"/>
            <w:shd w:val="clear" w:color="auto" w:fill="auto"/>
          </w:tcPr>
          <w:p w:rsidR="00ED6B54" w:rsidRPr="00050F41" w:rsidRDefault="00ED6B54" w:rsidP="00FD5C6B">
            <w:pPr>
              <w:rPr>
                <w:rFonts w:ascii="Calibri" w:hAnsi="Calibri" w:cs="Calibri"/>
              </w:rPr>
            </w:pPr>
            <w:r w:rsidRPr="0047571A">
              <w:rPr>
                <w:rFonts w:ascii="Calibri" w:hAnsi="Calibri" w:cs="Calibri"/>
              </w:rPr>
              <w:fldChar w:fldCharType="begin">
                <w:ffData>
                  <w:name w:val="Text1"/>
                  <w:enabled/>
                  <w:calcOnExit w:val="0"/>
                  <w:textInput>
                    <w:default w:val="[Click&amp;type]"/>
                  </w:textInput>
                </w:ffData>
              </w:fldChar>
            </w:r>
            <w:r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Pr="0047571A">
              <w:rPr>
                <w:rFonts w:ascii="Calibri" w:hAnsi="Calibri" w:cs="Calibri"/>
                <w:noProof/>
              </w:rPr>
              <w:t>[Click&amp;type]</w:t>
            </w:r>
            <w:r w:rsidRPr="0047571A">
              <w:rPr>
                <w:rFonts w:ascii="Calibri" w:hAnsi="Calibri" w:cs="Calibri"/>
              </w:rPr>
              <w:fldChar w:fldCharType="end"/>
            </w:r>
          </w:p>
        </w:tc>
      </w:tr>
      <w:tr w:rsidR="00ED6B54" w:rsidRPr="00050F41" w:rsidTr="00793160">
        <w:tc>
          <w:tcPr>
            <w:tcW w:w="6480" w:type="dxa"/>
            <w:shd w:val="clear" w:color="auto" w:fill="auto"/>
          </w:tcPr>
          <w:p w:rsidR="00ED6B54" w:rsidRPr="00050F41" w:rsidRDefault="00ED6B54" w:rsidP="00346A3F">
            <w:pPr>
              <w:numPr>
                <w:ilvl w:val="0"/>
                <w:numId w:val="9"/>
              </w:numPr>
              <w:autoSpaceDE w:val="0"/>
              <w:autoSpaceDN w:val="0"/>
              <w:adjustRightInd w:val="0"/>
              <w:jc w:val="both"/>
              <w:rPr>
                <w:rFonts w:ascii="Calibri" w:hAnsi="Calibri" w:cs="Calibri"/>
              </w:rPr>
            </w:pPr>
            <w:r w:rsidRPr="00050F41">
              <w:rPr>
                <w:rFonts w:ascii="Calibri" w:hAnsi="Calibri" w:cs="Calibri"/>
              </w:rPr>
              <w:t xml:space="preserve">Review reports for indications of systemic weaknesses, repeat violations of law and resulting risks or harms to consumers, or other matters of significant concern such as potential discriminatory effects of policies or procedures or </w:t>
            </w:r>
            <w:r w:rsidRPr="00050F41">
              <w:rPr>
                <w:rFonts w:ascii="Calibri" w:hAnsi="Calibri" w:cs="Calibri"/>
              </w:rPr>
              <w:lastRenderedPageBreak/>
              <w:t>particular business units with continuing or high levels of non-compliance.</w:t>
            </w:r>
          </w:p>
        </w:tc>
        <w:tc>
          <w:tcPr>
            <w:tcW w:w="6480" w:type="dxa"/>
            <w:shd w:val="clear" w:color="auto" w:fill="auto"/>
          </w:tcPr>
          <w:p w:rsidR="00ED6B54" w:rsidRPr="00050F41" w:rsidRDefault="00ED6B54" w:rsidP="00FD5C6B">
            <w:pPr>
              <w:rPr>
                <w:rFonts w:ascii="Calibri" w:hAnsi="Calibri" w:cs="Calibri"/>
              </w:rPr>
            </w:pPr>
            <w:r w:rsidRPr="0047571A">
              <w:rPr>
                <w:rFonts w:ascii="Calibri" w:hAnsi="Calibri" w:cs="Calibri"/>
              </w:rPr>
              <w:lastRenderedPageBreak/>
              <w:fldChar w:fldCharType="begin">
                <w:ffData>
                  <w:name w:val="Text1"/>
                  <w:enabled/>
                  <w:calcOnExit w:val="0"/>
                  <w:textInput>
                    <w:default w:val="[Click&amp;type]"/>
                  </w:textInput>
                </w:ffData>
              </w:fldChar>
            </w:r>
            <w:r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Pr="0047571A">
              <w:rPr>
                <w:rFonts w:ascii="Calibri" w:hAnsi="Calibri" w:cs="Calibri"/>
                <w:noProof/>
              </w:rPr>
              <w:t>[Click&amp;type]</w:t>
            </w:r>
            <w:r w:rsidRPr="0047571A">
              <w:rPr>
                <w:rFonts w:ascii="Calibri" w:hAnsi="Calibri" w:cs="Calibri"/>
              </w:rPr>
              <w:fldChar w:fldCharType="end"/>
            </w:r>
          </w:p>
        </w:tc>
      </w:tr>
      <w:tr w:rsidR="00ED6B54" w:rsidRPr="00050F41" w:rsidTr="00793160">
        <w:tc>
          <w:tcPr>
            <w:tcW w:w="6480" w:type="dxa"/>
            <w:shd w:val="clear" w:color="auto" w:fill="auto"/>
          </w:tcPr>
          <w:p w:rsidR="00ED6B54" w:rsidRPr="00050F41" w:rsidRDefault="00ED6B54" w:rsidP="00346A3F">
            <w:pPr>
              <w:numPr>
                <w:ilvl w:val="0"/>
                <w:numId w:val="9"/>
              </w:numPr>
              <w:autoSpaceDE w:val="0"/>
              <w:autoSpaceDN w:val="0"/>
              <w:adjustRightInd w:val="0"/>
              <w:jc w:val="both"/>
              <w:rPr>
                <w:rFonts w:ascii="Calibri" w:hAnsi="Calibri" w:cs="Calibri"/>
              </w:rPr>
            </w:pPr>
            <w:r w:rsidRPr="00050F41">
              <w:rPr>
                <w:rFonts w:ascii="Calibri" w:hAnsi="Calibri" w:cs="Calibri"/>
              </w:rPr>
              <w:lastRenderedPageBreak/>
              <w:t>Review a sample of reports and supporting documents covering potential unfair, deceptive, or discriminatory practices or related matters that pose heightened risks to consumers for thoroughness of review, accuracy of findings, and appropriateness of recommendations.</w:t>
            </w:r>
          </w:p>
        </w:tc>
        <w:tc>
          <w:tcPr>
            <w:tcW w:w="6480" w:type="dxa"/>
            <w:shd w:val="clear" w:color="auto" w:fill="auto"/>
          </w:tcPr>
          <w:p w:rsidR="00ED6B54" w:rsidRPr="00050F41" w:rsidRDefault="00ED6B54" w:rsidP="00FD5C6B">
            <w:pPr>
              <w:rPr>
                <w:rFonts w:ascii="Calibri" w:hAnsi="Calibri" w:cs="Calibri"/>
              </w:rPr>
            </w:pPr>
            <w:r w:rsidRPr="0047571A">
              <w:rPr>
                <w:rFonts w:ascii="Calibri" w:hAnsi="Calibri" w:cs="Calibri"/>
              </w:rPr>
              <w:fldChar w:fldCharType="begin">
                <w:ffData>
                  <w:name w:val="Text1"/>
                  <w:enabled/>
                  <w:calcOnExit w:val="0"/>
                  <w:textInput>
                    <w:default w:val="[Click&amp;type]"/>
                  </w:textInput>
                </w:ffData>
              </w:fldChar>
            </w:r>
            <w:r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Pr="0047571A">
              <w:rPr>
                <w:rFonts w:ascii="Calibri" w:hAnsi="Calibri" w:cs="Calibri"/>
                <w:noProof/>
              </w:rPr>
              <w:t>[Click&amp;type]</w:t>
            </w:r>
            <w:r w:rsidRPr="0047571A">
              <w:rPr>
                <w:rFonts w:ascii="Calibri" w:hAnsi="Calibri" w:cs="Calibri"/>
              </w:rPr>
              <w:fldChar w:fldCharType="end"/>
            </w:r>
          </w:p>
        </w:tc>
      </w:tr>
      <w:tr w:rsidR="00ED6B54" w:rsidRPr="00050F41" w:rsidTr="00793160">
        <w:tc>
          <w:tcPr>
            <w:tcW w:w="6480" w:type="dxa"/>
            <w:shd w:val="clear" w:color="auto" w:fill="auto"/>
          </w:tcPr>
          <w:p w:rsidR="00ED6B54" w:rsidRPr="00050F41" w:rsidRDefault="00ED6B54" w:rsidP="00346A3F">
            <w:pPr>
              <w:numPr>
                <w:ilvl w:val="0"/>
                <w:numId w:val="9"/>
              </w:numPr>
              <w:autoSpaceDE w:val="0"/>
              <w:autoSpaceDN w:val="0"/>
              <w:adjustRightInd w:val="0"/>
              <w:jc w:val="both"/>
              <w:rPr>
                <w:rFonts w:ascii="Calibri" w:hAnsi="Calibri" w:cs="Calibri"/>
              </w:rPr>
            </w:pPr>
            <w:r w:rsidRPr="00050F41">
              <w:rPr>
                <w:rFonts w:ascii="Calibri" w:hAnsi="Calibri" w:cs="Calibri"/>
              </w:rPr>
              <w:t xml:space="preserve">Determine whether monitoring results in corrective action that is timely and appropriate in size and scope. </w:t>
            </w:r>
          </w:p>
        </w:tc>
        <w:tc>
          <w:tcPr>
            <w:tcW w:w="6480" w:type="dxa"/>
            <w:shd w:val="clear" w:color="auto" w:fill="auto"/>
          </w:tcPr>
          <w:p w:rsidR="00ED6B54" w:rsidRPr="0047571A" w:rsidRDefault="00ED6B54" w:rsidP="00FD5C6B">
            <w:pPr>
              <w:rPr>
                <w:rFonts w:ascii="Calibri" w:hAnsi="Calibri" w:cs="Calibri"/>
              </w:rPr>
            </w:pPr>
            <w:r w:rsidRPr="0047571A">
              <w:rPr>
                <w:rFonts w:ascii="Calibri" w:hAnsi="Calibri" w:cs="Calibri"/>
              </w:rPr>
              <w:fldChar w:fldCharType="begin">
                <w:ffData>
                  <w:name w:val="Text1"/>
                  <w:enabled/>
                  <w:calcOnExit w:val="0"/>
                  <w:textInput>
                    <w:default w:val="[Click&amp;type]"/>
                  </w:textInput>
                </w:ffData>
              </w:fldChar>
            </w:r>
            <w:r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Pr="0047571A">
              <w:rPr>
                <w:rFonts w:ascii="Calibri" w:hAnsi="Calibri" w:cs="Calibri"/>
                <w:noProof/>
              </w:rPr>
              <w:t>[Click&amp;type]</w:t>
            </w:r>
            <w:r w:rsidRPr="0047571A">
              <w:rPr>
                <w:rFonts w:ascii="Calibri" w:hAnsi="Calibri" w:cs="Calibri"/>
              </w:rPr>
              <w:fldChar w:fldCharType="end"/>
            </w:r>
          </w:p>
        </w:tc>
      </w:tr>
      <w:tr w:rsidR="001F0083" w:rsidRPr="00050F41" w:rsidTr="00793160">
        <w:tc>
          <w:tcPr>
            <w:tcW w:w="12960" w:type="dxa"/>
            <w:gridSpan w:val="2"/>
            <w:shd w:val="clear" w:color="auto" w:fill="D9D9D9"/>
          </w:tcPr>
          <w:p w:rsidR="001F0083" w:rsidRPr="00050F41" w:rsidRDefault="00FB0049" w:rsidP="003D6B4B">
            <w:pPr>
              <w:autoSpaceDE w:val="0"/>
              <w:autoSpaceDN w:val="0"/>
              <w:adjustRightInd w:val="0"/>
              <w:rPr>
                <w:rFonts w:ascii="Calibri" w:hAnsi="Calibri" w:cs="Calibri"/>
                <w:b/>
                <w:bCs/>
              </w:rPr>
            </w:pPr>
            <w:r w:rsidRPr="00050F41">
              <w:rPr>
                <w:rFonts w:ascii="Calibri" w:hAnsi="Calibri" w:cs="Calibri"/>
                <w:b/>
                <w:bCs/>
              </w:rPr>
              <w:t xml:space="preserve">Conclusions </w:t>
            </w:r>
            <w:r w:rsidR="00ED6B54">
              <w:rPr>
                <w:rFonts w:ascii="Calibri" w:hAnsi="Calibri" w:cs="Calibri"/>
                <w:b/>
                <w:bCs/>
              </w:rPr>
              <w:t>–</w:t>
            </w:r>
            <w:r w:rsidRPr="00050F41">
              <w:rPr>
                <w:rFonts w:ascii="Calibri" w:hAnsi="Calibri" w:cs="Calibri"/>
                <w:b/>
                <w:bCs/>
              </w:rPr>
              <w:t xml:space="preserve"> </w:t>
            </w:r>
            <w:r w:rsidR="00ED6B54">
              <w:rPr>
                <w:rFonts w:ascii="Calibri" w:hAnsi="Calibri" w:cs="Calibri"/>
                <w:b/>
                <w:bCs/>
              </w:rPr>
              <w:t>Monitoring and Corrective Action</w:t>
            </w:r>
          </w:p>
        </w:tc>
      </w:tr>
      <w:tr w:rsidR="00D02CBB" w:rsidRPr="00050F41" w:rsidTr="00793160">
        <w:tc>
          <w:tcPr>
            <w:tcW w:w="12960" w:type="dxa"/>
            <w:gridSpan w:val="2"/>
            <w:shd w:val="clear" w:color="auto" w:fill="auto"/>
          </w:tcPr>
          <w:p w:rsidR="00ED6B54" w:rsidRPr="00050F41" w:rsidRDefault="00ED6B54" w:rsidP="00ED6B54">
            <w:pPr>
              <w:jc w:val="both"/>
              <w:rPr>
                <w:rFonts w:ascii="Calibri" w:hAnsi="Calibri" w:cs="Calibri"/>
              </w:rPr>
            </w:pPr>
            <w:r w:rsidRPr="00050F41">
              <w:rPr>
                <w:rFonts w:ascii="Calibri" w:hAnsi="Calibri" w:cs="Calibri"/>
              </w:rPr>
              <w:t>Draw a preliminary conclusion regarding the strength, adequacy, or weakness of the compliance monitoring and corrective action program. Consider whether:</w:t>
            </w:r>
          </w:p>
          <w:p w:rsidR="00ED6B54" w:rsidRPr="00050F41" w:rsidRDefault="00ED6B54" w:rsidP="00ED6B54">
            <w:pPr>
              <w:numPr>
                <w:ilvl w:val="0"/>
                <w:numId w:val="26"/>
              </w:numPr>
              <w:jc w:val="both"/>
              <w:rPr>
                <w:rFonts w:ascii="Calibri" w:hAnsi="Calibri" w:cs="Calibri"/>
                <w:sz w:val="20"/>
              </w:rPr>
            </w:pPr>
            <w:r w:rsidRPr="00050F41">
              <w:rPr>
                <w:rFonts w:ascii="Calibri" w:hAnsi="Calibri" w:cs="Calibri"/>
              </w:rPr>
              <w:t>Monitoring is scheduled and completed and leads to timely corrective actions where appropriate;</w:t>
            </w:r>
          </w:p>
          <w:p w:rsidR="00ED6B54" w:rsidRPr="00050F41" w:rsidRDefault="00ED6B54" w:rsidP="00ED6B54">
            <w:pPr>
              <w:numPr>
                <w:ilvl w:val="0"/>
                <w:numId w:val="26"/>
              </w:numPr>
              <w:jc w:val="both"/>
              <w:rPr>
                <w:rFonts w:ascii="Calibri" w:hAnsi="Calibri" w:cs="Calibri"/>
                <w:sz w:val="20"/>
              </w:rPr>
            </w:pPr>
            <w:r w:rsidRPr="00050F41">
              <w:rPr>
                <w:rFonts w:ascii="Calibri" w:hAnsi="Calibri" w:cs="Calibri"/>
              </w:rPr>
              <w:t>Monitoring confirms that transactions and other consumer contacts are handled according to the entity’s policies and procedures;</w:t>
            </w:r>
          </w:p>
          <w:p w:rsidR="00ED6B54" w:rsidRPr="00050F41" w:rsidRDefault="00ED6B54" w:rsidP="00ED6B54">
            <w:pPr>
              <w:numPr>
                <w:ilvl w:val="0"/>
                <w:numId w:val="26"/>
              </w:numPr>
              <w:jc w:val="both"/>
              <w:rPr>
                <w:rFonts w:ascii="Calibri" w:hAnsi="Calibri" w:cs="Calibri"/>
                <w:sz w:val="20"/>
              </w:rPr>
            </w:pPr>
            <w:r w:rsidRPr="00050F41">
              <w:rPr>
                <w:rFonts w:ascii="Calibri" w:hAnsi="Calibri" w:cs="Calibri"/>
              </w:rPr>
              <w:t>Monitoring and testing consider the results of risk assessments or other guides for prioritizing reviews;</w:t>
            </w:r>
          </w:p>
          <w:p w:rsidR="00ED6B54" w:rsidRPr="00050F41" w:rsidRDefault="00ED6B54" w:rsidP="00ED6B54">
            <w:pPr>
              <w:numPr>
                <w:ilvl w:val="0"/>
                <w:numId w:val="26"/>
              </w:numPr>
              <w:jc w:val="both"/>
              <w:rPr>
                <w:rFonts w:ascii="Calibri" w:hAnsi="Calibri" w:cs="Calibri"/>
                <w:sz w:val="20"/>
              </w:rPr>
            </w:pPr>
            <w:r w:rsidRPr="00050F41">
              <w:rPr>
                <w:rFonts w:ascii="Calibri" w:hAnsi="Calibri" w:cs="Calibri"/>
              </w:rPr>
              <w:t>Monitoring addresses deficiencies identified in internal or external audits and the board’s or management’s directives on resolving the deficiencies; and</w:t>
            </w:r>
          </w:p>
          <w:p w:rsidR="00ED6B54" w:rsidRPr="00050F41" w:rsidRDefault="00ED6B54" w:rsidP="00ED6B54">
            <w:pPr>
              <w:numPr>
                <w:ilvl w:val="0"/>
                <w:numId w:val="26"/>
              </w:numPr>
              <w:jc w:val="both"/>
              <w:rPr>
                <w:rFonts w:ascii="Calibri" w:hAnsi="Calibri" w:cs="Calibri"/>
                <w:sz w:val="20"/>
              </w:rPr>
            </w:pPr>
            <w:r w:rsidRPr="00050F41">
              <w:rPr>
                <w:rFonts w:ascii="Calibri" w:hAnsi="Calibri" w:cs="Calibri"/>
              </w:rPr>
              <w:t>Findings are escalated to management and to the board of directors if appropriate.</w:t>
            </w:r>
          </w:p>
          <w:p w:rsidR="00ED6B54" w:rsidRPr="00050F41" w:rsidRDefault="00ED6B54" w:rsidP="00ED6B54">
            <w:pPr>
              <w:jc w:val="both"/>
              <w:rPr>
                <w:rFonts w:ascii="Calibri" w:hAnsi="Calibri" w:cs="Calibri"/>
              </w:rPr>
            </w:pPr>
          </w:p>
          <w:p w:rsidR="00D02CBB" w:rsidRPr="00050F41" w:rsidRDefault="00ED6B54" w:rsidP="00ED6B54">
            <w:pPr>
              <w:autoSpaceDE w:val="0"/>
              <w:autoSpaceDN w:val="0"/>
              <w:adjustRightInd w:val="0"/>
              <w:jc w:val="both"/>
              <w:rPr>
                <w:rFonts w:ascii="Calibri" w:hAnsi="Calibri" w:cs="Calibri"/>
                <w:bCs/>
                <w:szCs w:val="24"/>
              </w:rPr>
            </w:pPr>
            <w:r w:rsidRPr="00050F41">
              <w:rPr>
                <w:rFonts w:ascii="Calibri" w:hAnsi="Calibri" w:cs="Calibri"/>
              </w:rPr>
              <w:t xml:space="preserve">Confirm the preliminary conclusions by selecting areas for further review either because of lack of coverage by the monitoring program or to confirm monitoring or corrective action findings.  </w:t>
            </w:r>
          </w:p>
        </w:tc>
      </w:tr>
      <w:tr w:rsidR="00D02CBB" w:rsidRPr="00050F41" w:rsidTr="00793160">
        <w:tc>
          <w:tcPr>
            <w:tcW w:w="12960" w:type="dxa"/>
            <w:gridSpan w:val="2"/>
            <w:shd w:val="clear" w:color="auto" w:fill="auto"/>
          </w:tcPr>
          <w:p w:rsidR="00523214" w:rsidRDefault="00ED6B54" w:rsidP="00834D5E">
            <w:pPr>
              <w:rPr>
                <w:rFonts w:ascii="Calibri" w:hAnsi="Calibri" w:cs="Calibri"/>
                <w:b/>
              </w:rPr>
            </w:pPr>
            <w:r w:rsidRPr="0047571A">
              <w:rPr>
                <w:rFonts w:ascii="Calibri" w:hAnsi="Calibri" w:cs="Calibri"/>
              </w:rPr>
              <w:fldChar w:fldCharType="begin">
                <w:ffData>
                  <w:name w:val="Text1"/>
                  <w:enabled/>
                  <w:calcOnExit w:val="0"/>
                  <w:textInput>
                    <w:default w:val="[Click&amp;type]"/>
                  </w:textInput>
                </w:ffData>
              </w:fldChar>
            </w:r>
            <w:r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Pr="0047571A">
              <w:rPr>
                <w:rFonts w:ascii="Calibri" w:hAnsi="Calibri" w:cs="Calibri"/>
                <w:noProof/>
              </w:rPr>
              <w:t>[Click&amp;type]</w:t>
            </w:r>
            <w:r w:rsidRPr="0047571A">
              <w:rPr>
                <w:rFonts w:ascii="Calibri" w:hAnsi="Calibri" w:cs="Calibri"/>
              </w:rPr>
              <w:fldChar w:fldCharType="end"/>
            </w:r>
          </w:p>
          <w:p w:rsidR="003D6B4B" w:rsidRPr="003D6B4B" w:rsidRDefault="003D6B4B" w:rsidP="003D6B4B">
            <w:pPr>
              <w:rPr>
                <w:rFonts w:ascii="Calibri" w:hAnsi="Calibri" w:cs="Calibri"/>
                <w:b/>
              </w:rPr>
            </w:pPr>
            <w:r w:rsidRPr="003D6B4B">
              <w:rPr>
                <w:rFonts w:ascii="Calibri" w:hAnsi="Calibri" w:cs="Calibri"/>
                <w:b/>
              </w:rPr>
              <w:t>INSERT COMMENTS FOR USE IN THE EXAMINTION REPORT.  COMMENTS SHOULD INCLUDE ANY REQUIRED CORRECTIVE ACTIONS IF DEFICIENCIES ARE FOUND.</w:t>
            </w:r>
          </w:p>
          <w:p w:rsidR="003D6B4B" w:rsidRPr="003D6B4B" w:rsidRDefault="003D6B4B" w:rsidP="003D6B4B">
            <w:pPr>
              <w:rPr>
                <w:rFonts w:ascii="Calibri" w:hAnsi="Calibri" w:cs="Calibri"/>
              </w:rPr>
            </w:pPr>
            <w:r w:rsidRPr="003D6B4B">
              <w:rPr>
                <w:rFonts w:ascii="Calibri" w:hAnsi="Calibri" w:cs="Calibri"/>
              </w:rPr>
              <w:t xml:space="preserve">When drafting these comments, use Times New Roman, 12 </w:t>
            </w:r>
            <w:proofErr w:type="spellStart"/>
            <w:r w:rsidRPr="003D6B4B">
              <w:rPr>
                <w:rFonts w:ascii="Calibri" w:hAnsi="Calibri" w:cs="Calibri"/>
              </w:rPr>
              <w:t>pt</w:t>
            </w:r>
            <w:proofErr w:type="spellEnd"/>
            <w:r w:rsidRPr="003D6B4B">
              <w:rPr>
                <w:rFonts w:ascii="Calibri" w:hAnsi="Calibri" w:cs="Calibri"/>
              </w:rPr>
              <w:t xml:space="preserve"> font and justify the right margin.  </w:t>
            </w:r>
          </w:p>
          <w:p w:rsidR="000A084F" w:rsidRDefault="000A084F" w:rsidP="00584B4C">
            <w:pPr>
              <w:rPr>
                <w:rFonts w:ascii="Calibri" w:hAnsi="Calibri" w:cs="Calibri"/>
              </w:rPr>
            </w:pPr>
          </w:p>
          <w:p w:rsidR="000A084F" w:rsidRDefault="000A084F" w:rsidP="00584B4C">
            <w:pPr>
              <w:rPr>
                <w:rFonts w:ascii="Calibri" w:hAnsi="Calibri" w:cs="Calibri"/>
              </w:rPr>
            </w:pPr>
          </w:p>
          <w:p w:rsidR="000A084F" w:rsidRDefault="000A084F" w:rsidP="00584B4C">
            <w:pPr>
              <w:rPr>
                <w:rFonts w:ascii="Calibri" w:hAnsi="Calibri" w:cs="Calibri"/>
              </w:rPr>
            </w:pPr>
          </w:p>
          <w:p w:rsidR="000A084F" w:rsidRDefault="000A084F" w:rsidP="00584B4C">
            <w:pPr>
              <w:rPr>
                <w:rFonts w:ascii="Calibri" w:hAnsi="Calibri" w:cs="Calibri"/>
              </w:rPr>
            </w:pPr>
          </w:p>
          <w:p w:rsidR="000A084F" w:rsidRDefault="000A084F"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Pr="00880078" w:rsidRDefault="00523214" w:rsidP="00523214">
            <w:pPr>
              <w:rPr>
                <w:rFonts w:ascii="Calibri" w:hAnsi="Calibri" w:cs="Calibri"/>
              </w:rPr>
            </w:pPr>
          </w:p>
        </w:tc>
      </w:tr>
    </w:tbl>
    <w:p w:rsidR="007C32F5" w:rsidRDefault="007C32F5" w:rsidP="00523214"/>
    <w:sectPr w:rsidR="007C32F5" w:rsidSect="00865CB6">
      <w:footerReference w:type="default" r:id="rId16"/>
      <w:type w:val="evenPag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7DC" w:rsidRDefault="00DD17DC" w:rsidP="001F0083">
      <w:r>
        <w:separator/>
      </w:r>
    </w:p>
  </w:endnote>
  <w:endnote w:type="continuationSeparator" w:id="0">
    <w:p w:rsidR="00DD17DC" w:rsidRDefault="00DD17DC" w:rsidP="001F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DC" w:rsidRPr="001C3489" w:rsidRDefault="00DD17DC" w:rsidP="00793160">
    <w:pPr>
      <w:pBdr>
        <w:top w:val="single" w:sz="12" w:space="1" w:color="000000"/>
      </w:pBdr>
      <w:tabs>
        <w:tab w:val="center" w:pos="6480"/>
        <w:tab w:val="right" w:pos="12960"/>
      </w:tabs>
      <w:spacing w:before="120"/>
      <w:rPr>
        <w:rFonts w:ascii="Calibri" w:hAnsi="Calibri" w:cs="Calibri"/>
        <w:b/>
        <w:sz w:val="20"/>
        <w:szCs w:val="20"/>
      </w:rPr>
    </w:pPr>
    <w:r w:rsidRPr="001C3489">
      <w:rPr>
        <w:rFonts w:ascii="Calibri" w:hAnsi="Calibri" w:cs="Calibri"/>
        <w:b/>
        <w:sz w:val="20"/>
        <w:szCs w:val="20"/>
      </w:rPr>
      <w:t>MA Division of Banks</w:t>
    </w:r>
    <w:r w:rsidRPr="001C3489">
      <w:rPr>
        <w:rFonts w:ascii="Calibri" w:hAnsi="Calibri" w:cs="Calibri"/>
        <w:b/>
        <w:sz w:val="20"/>
        <w:szCs w:val="20"/>
      </w:rPr>
      <w:tab/>
      <w:t>Manual V.2 (October 2012)</w:t>
    </w:r>
    <w:r w:rsidRPr="001C3489">
      <w:rPr>
        <w:rFonts w:ascii="Calibri" w:hAnsi="Calibri" w:cs="Calibri"/>
        <w:b/>
        <w:sz w:val="20"/>
        <w:szCs w:val="20"/>
      </w:rPr>
      <w:tab/>
      <w:t xml:space="preserve">Template </w:t>
    </w:r>
    <w:r w:rsidRPr="001C3489">
      <w:rPr>
        <w:rStyle w:val="PageNumber"/>
        <w:rFonts w:ascii="Calibri" w:hAnsi="Calibri" w:cs="Calibri"/>
        <w:b w:val="0"/>
        <w:sz w:val="20"/>
        <w:szCs w:val="20"/>
      </w:rPr>
      <w:fldChar w:fldCharType="begin"/>
    </w:r>
    <w:r w:rsidRPr="001C3489">
      <w:rPr>
        <w:rStyle w:val="PageNumber"/>
        <w:rFonts w:ascii="Calibri" w:hAnsi="Calibri" w:cs="Calibri"/>
        <w:b w:val="0"/>
        <w:sz w:val="20"/>
        <w:szCs w:val="20"/>
      </w:rPr>
      <w:instrText xml:space="preserve"> PAGE </w:instrText>
    </w:r>
    <w:r w:rsidRPr="001C3489">
      <w:rPr>
        <w:rStyle w:val="PageNumber"/>
        <w:rFonts w:ascii="Calibri" w:hAnsi="Calibri" w:cs="Calibri"/>
        <w:b w:val="0"/>
        <w:sz w:val="20"/>
        <w:szCs w:val="20"/>
      </w:rPr>
      <w:fldChar w:fldCharType="separate"/>
    </w:r>
    <w:r>
      <w:rPr>
        <w:rStyle w:val="PageNumber"/>
        <w:rFonts w:ascii="Calibri" w:hAnsi="Calibri" w:cs="Calibri"/>
        <w:b w:val="0"/>
        <w:noProof/>
        <w:sz w:val="20"/>
        <w:szCs w:val="20"/>
      </w:rPr>
      <w:t>3</w:t>
    </w:r>
    <w:r w:rsidRPr="001C3489">
      <w:rPr>
        <w:rStyle w:val="PageNumber"/>
        <w:rFonts w:ascii="Calibri" w:hAnsi="Calibri" w:cs="Calibri"/>
        <w:b w:val="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DC" w:rsidRPr="001C3489" w:rsidRDefault="006C576D" w:rsidP="001C3489">
    <w:pPr>
      <w:pBdr>
        <w:top w:val="single" w:sz="12" w:space="1" w:color="000000"/>
      </w:pBdr>
      <w:tabs>
        <w:tab w:val="center" w:pos="6480"/>
        <w:tab w:val="right" w:pos="12960"/>
      </w:tabs>
      <w:spacing w:before="120"/>
      <w:rPr>
        <w:rFonts w:ascii="Calibri" w:hAnsi="Calibri" w:cs="Calibri"/>
        <w:b/>
        <w:sz w:val="20"/>
        <w:szCs w:val="20"/>
      </w:rPr>
    </w:pPr>
    <w:r>
      <w:rPr>
        <w:rFonts w:ascii="Calibri" w:hAnsi="Calibri" w:cs="Calibri"/>
        <w:b/>
        <w:sz w:val="20"/>
        <w:szCs w:val="20"/>
      </w:rPr>
      <w:tab/>
      <w:t>CMS-</w:t>
    </w:r>
    <w:r w:rsidR="00341A5D">
      <w:rPr>
        <w:rFonts w:ascii="Calibri" w:hAnsi="Calibri" w:cs="Calibri"/>
        <w:b/>
        <w:sz w:val="20"/>
        <w:szCs w:val="20"/>
      </w:rPr>
      <w:t>Monitoring and Corrective Action</w:t>
    </w:r>
    <w:r w:rsidR="003C24A5">
      <w:rPr>
        <w:rFonts w:ascii="Calibri" w:hAnsi="Calibri" w:cs="Calibri"/>
        <w:b/>
        <w:sz w:val="20"/>
        <w:szCs w:val="20"/>
      </w:rPr>
      <w:t xml:space="preserve"> Module V.3</w:t>
    </w:r>
    <w:r w:rsidR="00DD17DC" w:rsidRPr="001C3489">
      <w:rPr>
        <w:rFonts w:ascii="Calibri" w:hAnsi="Calibri" w:cs="Calibri"/>
        <w:b/>
        <w:sz w:val="20"/>
        <w:szCs w:val="20"/>
      </w:rPr>
      <w:t xml:space="preserve"> (</w:t>
    </w:r>
    <w:r w:rsidR="003C24A5">
      <w:rPr>
        <w:rFonts w:ascii="Calibri" w:hAnsi="Calibri" w:cs="Calibri"/>
        <w:b/>
        <w:sz w:val="20"/>
        <w:szCs w:val="20"/>
      </w:rPr>
      <w:t>February</w:t>
    </w:r>
    <w:r w:rsidR="00DD17DC">
      <w:rPr>
        <w:rFonts w:ascii="Calibri" w:hAnsi="Calibri" w:cs="Calibri"/>
        <w:b/>
        <w:sz w:val="20"/>
        <w:szCs w:val="20"/>
      </w:rPr>
      <w:t xml:space="preserve"> 2016</w:t>
    </w:r>
    <w:r w:rsidR="00DD17DC" w:rsidRPr="001C3489">
      <w:rPr>
        <w:rFonts w:ascii="Calibri" w:hAnsi="Calibri" w:cs="Calibri"/>
        <w:b/>
        <w:sz w:val="20"/>
        <w:szCs w:val="20"/>
      </w:rPr>
      <w:t>)</w:t>
    </w:r>
    <w:r w:rsidR="00DD17DC" w:rsidRPr="001C3489">
      <w:rPr>
        <w:rFonts w:ascii="Calibri" w:hAnsi="Calibri" w:cs="Calibri"/>
        <w:b/>
        <w:sz w:val="20"/>
        <w:szCs w:val="20"/>
      </w:rPr>
      <w:tab/>
    </w:r>
    <w:r w:rsidR="00DD17DC">
      <w:rPr>
        <w:rFonts w:ascii="Calibri" w:hAnsi="Calibri" w:cs="Calibri"/>
        <w:b/>
        <w:sz w:val="20"/>
        <w:szCs w:val="20"/>
      </w:rPr>
      <w:t>Page</w:t>
    </w:r>
    <w:r w:rsidR="00DD17DC" w:rsidRPr="001C3489">
      <w:rPr>
        <w:rFonts w:ascii="Calibri" w:hAnsi="Calibri" w:cs="Calibri"/>
        <w:b/>
        <w:sz w:val="20"/>
        <w:szCs w:val="20"/>
      </w:rPr>
      <w:t xml:space="preserve"> </w:t>
    </w:r>
    <w:r w:rsidR="00DD17DC" w:rsidRPr="001C3489">
      <w:rPr>
        <w:rStyle w:val="PageNumber"/>
        <w:rFonts w:ascii="Calibri" w:hAnsi="Calibri" w:cs="Calibri"/>
        <w:b w:val="0"/>
        <w:sz w:val="20"/>
        <w:szCs w:val="20"/>
      </w:rPr>
      <w:fldChar w:fldCharType="begin"/>
    </w:r>
    <w:r w:rsidR="00DD17DC" w:rsidRPr="001C3489">
      <w:rPr>
        <w:rStyle w:val="PageNumber"/>
        <w:rFonts w:ascii="Calibri" w:hAnsi="Calibri" w:cs="Calibri"/>
        <w:b w:val="0"/>
        <w:sz w:val="20"/>
        <w:szCs w:val="20"/>
      </w:rPr>
      <w:instrText xml:space="preserve"> PAGE </w:instrText>
    </w:r>
    <w:r w:rsidR="00DD17DC" w:rsidRPr="001C3489">
      <w:rPr>
        <w:rStyle w:val="PageNumber"/>
        <w:rFonts w:ascii="Calibri" w:hAnsi="Calibri" w:cs="Calibri"/>
        <w:b w:val="0"/>
        <w:sz w:val="20"/>
        <w:szCs w:val="20"/>
      </w:rPr>
      <w:fldChar w:fldCharType="separate"/>
    </w:r>
    <w:r w:rsidR="003C24A5">
      <w:rPr>
        <w:rStyle w:val="PageNumber"/>
        <w:rFonts w:ascii="Calibri" w:hAnsi="Calibri" w:cs="Calibri"/>
        <w:b w:val="0"/>
        <w:noProof/>
        <w:sz w:val="20"/>
        <w:szCs w:val="20"/>
      </w:rPr>
      <w:t>1</w:t>
    </w:r>
    <w:r w:rsidR="00DD17DC" w:rsidRPr="001C3489">
      <w:rPr>
        <w:rStyle w:val="PageNumber"/>
        <w:rFonts w:ascii="Calibri" w:hAnsi="Calibri" w:cs="Calibri"/>
        <w:b w:val="0"/>
        <w:sz w:val="20"/>
        <w:szCs w:val="20"/>
      </w:rPr>
      <w:fldChar w:fldCharType="end"/>
    </w:r>
  </w:p>
  <w:p w:rsidR="00DD17DC" w:rsidRPr="001C3489" w:rsidRDefault="00DD17DC">
    <w:pPr>
      <w:pStyle w:val="Footer"/>
      <w:rPr>
        <w:rFonts w:ascii="Calibri" w:hAnsi="Calibri" w:cs="Calibri"/>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DC" w:rsidRPr="001C3489" w:rsidRDefault="00DD17DC" w:rsidP="00793160">
    <w:pPr>
      <w:pBdr>
        <w:top w:val="single" w:sz="12" w:space="1" w:color="000000"/>
      </w:pBdr>
      <w:tabs>
        <w:tab w:val="center" w:pos="6480"/>
        <w:tab w:val="right" w:pos="12960"/>
      </w:tabs>
      <w:spacing w:before="120"/>
      <w:rPr>
        <w:rFonts w:ascii="Calibri" w:hAnsi="Calibri" w:cs="Calibri"/>
        <w:b/>
        <w:sz w:val="20"/>
        <w:szCs w:val="20"/>
      </w:rPr>
    </w:pPr>
    <w:r>
      <w:rPr>
        <w:rFonts w:ascii="Calibri" w:hAnsi="Calibri" w:cs="Calibri"/>
        <w:b/>
        <w:sz w:val="20"/>
        <w:szCs w:val="20"/>
      </w:rPr>
      <w:tab/>
    </w:r>
    <w:r w:rsidR="00341A5D">
      <w:rPr>
        <w:rFonts w:ascii="Calibri" w:hAnsi="Calibri" w:cs="Calibri"/>
        <w:b/>
        <w:sz w:val="20"/>
        <w:szCs w:val="20"/>
      </w:rPr>
      <w:t xml:space="preserve">CMS-Monitoring </w:t>
    </w:r>
    <w:r w:rsidR="003C24A5">
      <w:rPr>
        <w:rFonts w:ascii="Calibri" w:hAnsi="Calibri" w:cs="Calibri"/>
        <w:b/>
        <w:sz w:val="20"/>
        <w:szCs w:val="20"/>
      </w:rPr>
      <w:t>and Corrective Action Module V.3</w:t>
    </w:r>
    <w:r w:rsidR="00341A5D" w:rsidRPr="001C3489">
      <w:rPr>
        <w:rFonts w:ascii="Calibri" w:hAnsi="Calibri" w:cs="Calibri"/>
        <w:b/>
        <w:sz w:val="20"/>
        <w:szCs w:val="20"/>
      </w:rPr>
      <w:t xml:space="preserve"> (</w:t>
    </w:r>
    <w:r w:rsidR="003C24A5">
      <w:rPr>
        <w:rFonts w:ascii="Calibri" w:hAnsi="Calibri" w:cs="Calibri"/>
        <w:b/>
        <w:sz w:val="20"/>
        <w:szCs w:val="20"/>
      </w:rPr>
      <w:t>February</w:t>
    </w:r>
    <w:r w:rsidR="00341A5D">
      <w:rPr>
        <w:rFonts w:ascii="Calibri" w:hAnsi="Calibri" w:cs="Calibri"/>
        <w:b/>
        <w:sz w:val="20"/>
        <w:szCs w:val="20"/>
      </w:rPr>
      <w:t xml:space="preserve"> 2016</w:t>
    </w:r>
    <w:r w:rsidR="00341A5D" w:rsidRPr="001C3489">
      <w:rPr>
        <w:rFonts w:ascii="Calibri" w:hAnsi="Calibri" w:cs="Calibri"/>
        <w:b/>
        <w:sz w:val="20"/>
        <w:szCs w:val="20"/>
      </w:rPr>
      <w:t>)</w:t>
    </w:r>
    <w:r w:rsidRPr="001C3489">
      <w:rPr>
        <w:rFonts w:ascii="Calibri" w:hAnsi="Calibri" w:cs="Calibri"/>
        <w:b/>
        <w:sz w:val="20"/>
        <w:szCs w:val="20"/>
      </w:rPr>
      <w:tab/>
    </w:r>
    <w:r>
      <w:rPr>
        <w:rFonts w:ascii="Calibri" w:hAnsi="Calibri" w:cs="Calibri"/>
        <w:b/>
        <w:sz w:val="20"/>
        <w:szCs w:val="20"/>
      </w:rPr>
      <w:t>Page</w:t>
    </w:r>
    <w:r w:rsidRPr="001C3489">
      <w:rPr>
        <w:rFonts w:ascii="Calibri" w:hAnsi="Calibri" w:cs="Calibri"/>
        <w:b/>
        <w:sz w:val="20"/>
        <w:szCs w:val="20"/>
      </w:rPr>
      <w:t xml:space="preserve"> </w:t>
    </w:r>
    <w:r w:rsidRPr="001C3489">
      <w:rPr>
        <w:rStyle w:val="PageNumber"/>
        <w:rFonts w:ascii="Calibri" w:hAnsi="Calibri" w:cs="Calibri"/>
        <w:b w:val="0"/>
        <w:sz w:val="20"/>
        <w:szCs w:val="20"/>
      </w:rPr>
      <w:fldChar w:fldCharType="begin"/>
    </w:r>
    <w:r w:rsidRPr="001C3489">
      <w:rPr>
        <w:rStyle w:val="PageNumber"/>
        <w:rFonts w:ascii="Calibri" w:hAnsi="Calibri" w:cs="Calibri"/>
        <w:b w:val="0"/>
        <w:sz w:val="20"/>
        <w:szCs w:val="20"/>
      </w:rPr>
      <w:instrText xml:space="preserve"> PAGE </w:instrText>
    </w:r>
    <w:r w:rsidRPr="001C3489">
      <w:rPr>
        <w:rStyle w:val="PageNumber"/>
        <w:rFonts w:ascii="Calibri" w:hAnsi="Calibri" w:cs="Calibri"/>
        <w:b w:val="0"/>
        <w:sz w:val="20"/>
        <w:szCs w:val="20"/>
      </w:rPr>
      <w:fldChar w:fldCharType="separate"/>
    </w:r>
    <w:r w:rsidR="003C24A5">
      <w:rPr>
        <w:rStyle w:val="PageNumber"/>
        <w:rFonts w:ascii="Calibri" w:hAnsi="Calibri" w:cs="Calibri"/>
        <w:b w:val="0"/>
        <w:noProof/>
        <w:sz w:val="20"/>
        <w:szCs w:val="20"/>
      </w:rPr>
      <w:t>2</w:t>
    </w:r>
    <w:r w:rsidRPr="001C3489">
      <w:rPr>
        <w:rStyle w:val="PageNumber"/>
        <w:rFonts w:ascii="Calibri" w:hAnsi="Calibri" w:cs="Calibri"/>
        <w:b w:val="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7DC" w:rsidRDefault="00DD17DC" w:rsidP="001F0083">
      <w:r>
        <w:separator/>
      </w:r>
    </w:p>
  </w:footnote>
  <w:footnote w:type="continuationSeparator" w:id="0">
    <w:p w:rsidR="00DD17DC" w:rsidRDefault="00DD17DC" w:rsidP="001F0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DC" w:rsidRPr="00733878" w:rsidRDefault="00DD17DC" w:rsidP="001C3489">
    <w:pPr>
      <w:pStyle w:val="Header"/>
      <w:jc w:val="center"/>
      <w:rPr>
        <w:rFonts w:ascii="Gill Sans MT" w:hAnsi="Gill Sans MT"/>
        <w:b/>
        <w:sz w:val="20"/>
        <w:szCs w:val="20"/>
      </w:rPr>
    </w:pPr>
    <w:r w:rsidRPr="00733878">
      <w:rPr>
        <w:rFonts w:ascii="Gill Sans MT" w:hAnsi="Gill Sans MT"/>
        <w:sz w:val="20"/>
        <w:szCs w:val="20"/>
      </w:rPr>
      <w:t>Confidential Supervisory Information</w:t>
    </w:r>
  </w:p>
  <w:p w:rsidR="00DD17DC" w:rsidRPr="00733878" w:rsidRDefault="00DD17DC" w:rsidP="00031CA3">
    <w:pPr>
      <w:pStyle w:val="Footer"/>
      <w:tabs>
        <w:tab w:val="clear" w:pos="4680"/>
        <w:tab w:val="clear" w:pos="9360"/>
        <w:tab w:val="left" w:pos="7200"/>
      </w:tabs>
      <w:spacing w:after="240"/>
      <w:jc w:val="center"/>
      <w:rPr>
        <w:rFonts w:ascii="Gill Sans MT" w:hAnsi="Gill Sans MT"/>
        <w:b/>
        <w:sz w:val="36"/>
        <w:szCs w:val="36"/>
      </w:rPr>
    </w:pPr>
    <w:r w:rsidRPr="00733878">
      <w:rPr>
        <w:rFonts w:ascii="Gill Sans MT" w:hAnsi="Gill Sans MT"/>
        <w:b/>
        <w:sz w:val="36"/>
        <w:szCs w:val="36"/>
      </w:rPr>
      <w:t>Compliance Management Review</w:t>
    </w:r>
  </w:p>
  <w:p w:rsidR="00DD17DC" w:rsidRPr="00A35CCB" w:rsidRDefault="00341A5D" w:rsidP="001C3489">
    <w:pPr>
      <w:pStyle w:val="Footer"/>
      <w:pBdr>
        <w:bottom w:val="single" w:sz="18" w:space="1" w:color="000000"/>
      </w:pBdr>
      <w:tabs>
        <w:tab w:val="clear" w:pos="4680"/>
        <w:tab w:val="clear" w:pos="9360"/>
        <w:tab w:val="left" w:pos="7560"/>
        <w:tab w:val="right" w:pos="12960"/>
      </w:tabs>
      <w:spacing w:after="240"/>
      <w:rPr>
        <w:rFonts w:ascii="Gill Sans MT" w:hAnsi="Gill Sans MT"/>
        <w:b/>
        <w:sz w:val="20"/>
        <w:szCs w:val="20"/>
      </w:rPr>
    </w:pPr>
    <w:fldSimple w:instr=" STYLEREF  DOB1  \* MERGEFORMAT ">
      <w:r w:rsidR="003C24A5" w:rsidRPr="003C24A5">
        <w:rPr>
          <w:rFonts w:ascii="Gill Sans MT" w:hAnsi="Gill Sans MT"/>
          <w:b/>
          <w:noProof/>
          <w:sz w:val="20"/>
          <w:szCs w:val="20"/>
        </w:rPr>
        <w:t>Entity Name:</w:t>
      </w:r>
      <w:r w:rsidR="003C24A5" w:rsidRPr="003C24A5">
        <w:rPr>
          <w:rFonts w:ascii="Gill Sans MT" w:hAnsi="Gill Sans MT"/>
          <w:b/>
          <w:noProof/>
          <w:sz w:val="20"/>
          <w:szCs w:val="20"/>
        </w:rPr>
        <w:tab/>
      </w:r>
      <w:r w:rsidR="003C24A5" w:rsidRPr="003C24A5">
        <w:rPr>
          <w:rFonts w:ascii="Gill Sans MT" w:hAnsi="Gill Sans MT" w:cs="Arial"/>
          <w:b/>
          <w:noProof/>
          <w:sz w:val="20"/>
          <w:szCs w:val="20"/>
        </w:rPr>
        <w:t>Prepared by:</w:t>
      </w:r>
    </w:fldSimple>
  </w:p>
  <w:p w:rsidR="00DD17DC" w:rsidRPr="00A35CCB" w:rsidRDefault="00341A5D" w:rsidP="001C3489">
    <w:pPr>
      <w:pStyle w:val="Footer"/>
      <w:pBdr>
        <w:bottom w:val="single" w:sz="18" w:space="1" w:color="000000"/>
      </w:pBdr>
      <w:tabs>
        <w:tab w:val="clear" w:pos="4680"/>
        <w:tab w:val="clear" w:pos="9360"/>
        <w:tab w:val="left" w:pos="7560"/>
        <w:tab w:val="right" w:pos="12960"/>
      </w:tabs>
      <w:rPr>
        <w:rFonts w:ascii="Gill Sans MT" w:hAnsi="Gill Sans MT"/>
        <w:b/>
        <w:sz w:val="20"/>
        <w:szCs w:val="20"/>
      </w:rPr>
    </w:pPr>
    <w:fldSimple w:instr=" STYLEREF  DOB2  \* MERGEFORMAT ">
      <w:r w:rsidR="003C24A5" w:rsidRPr="003C24A5">
        <w:rPr>
          <w:rFonts w:ascii="Gill Sans MT" w:hAnsi="Gill Sans MT"/>
          <w:b/>
          <w:noProof/>
          <w:sz w:val="20"/>
          <w:szCs w:val="20"/>
        </w:rPr>
        <w:t xml:space="preserve">NMLS/License Number: </w:t>
      </w:r>
      <w:r w:rsidR="003C24A5" w:rsidRPr="003C24A5">
        <w:rPr>
          <w:rFonts w:ascii="Gill Sans MT" w:hAnsi="Gill Sans MT"/>
          <w:b/>
          <w:noProof/>
          <w:sz w:val="20"/>
          <w:szCs w:val="20"/>
        </w:rPr>
        <w:tab/>
        <w:t>Date:</w:t>
      </w:r>
    </w:fldSimple>
  </w:p>
  <w:p w:rsidR="00DD17DC" w:rsidRPr="00733878" w:rsidRDefault="00DD17DC" w:rsidP="001C3489">
    <w:pPr>
      <w:pStyle w:val="Footer"/>
      <w:pBdr>
        <w:bottom w:val="single" w:sz="18" w:space="1" w:color="000000"/>
      </w:pBdr>
      <w:tabs>
        <w:tab w:val="clear" w:pos="4680"/>
        <w:tab w:val="clear" w:pos="9360"/>
        <w:tab w:val="left" w:pos="7560"/>
        <w:tab w:val="right" w:pos="12960"/>
      </w:tabs>
      <w:rPr>
        <w:rFonts w:ascii="Gill Sans MT" w:hAnsi="Gill Sans MT"/>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DC" w:rsidRPr="00A47C6E" w:rsidRDefault="00DD17DC" w:rsidP="00963DD2">
    <w:pPr>
      <w:pStyle w:val="Header"/>
      <w:jc w:val="center"/>
      <w:rPr>
        <w:rFonts w:ascii="Gill Sans MT" w:hAnsi="Gill Sans MT"/>
        <w:b/>
        <w:sz w:val="20"/>
        <w:szCs w:val="20"/>
      </w:rPr>
    </w:pPr>
    <w:r w:rsidRPr="00A47C6E">
      <w:rPr>
        <w:rFonts w:ascii="Gill Sans MT" w:hAnsi="Gill Sans MT"/>
        <w:sz w:val="20"/>
        <w:szCs w:val="20"/>
      </w:rPr>
      <w:t>Confidential Supervisory Information</w:t>
    </w:r>
  </w:p>
  <w:p w:rsidR="00DD17DC" w:rsidRPr="00963DD2" w:rsidRDefault="00DD17DC" w:rsidP="00031CA3">
    <w:pPr>
      <w:pStyle w:val="Footer"/>
      <w:tabs>
        <w:tab w:val="clear" w:pos="4680"/>
        <w:tab w:val="clear" w:pos="9360"/>
        <w:tab w:val="left" w:pos="7200"/>
      </w:tabs>
      <w:spacing w:after="240"/>
      <w:jc w:val="center"/>
      <w:rPr>
        <w:rFonts w:ascii="Gill Sans MT" w:hAnsi="Gill Sans MT"/>
        <w:b/>
        <w:sz w:val="36"/>
        <w:szCs w:val="36"/>
      </w:rPr>
    </w:pPr>
    <w:r>
      <w:rPr>
        <w:rFonts w:ascii="Gill Sans MT" w:hAnsi="Gill Sans MT"/>
        <w:b/>
        <w:sz w:val="36"/>
        <w:szCs w:val="36"/>
      </w:rPr>
      <w:t>Compliance Management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662C"/>
    <w:multiLevelType w:val="hybridMultilevel"/>
    <w:tmpl w:val="FF10C3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3B1FE4"/>
    <w:multiLevelType w:val="hybridMultilevel"/>
    <w:tmpl w:val="27F6602E"/>
    <w:lvl w:ilvl="0" w:tplc="1C74E5B4">
      <w:start w:val="1"/>
      <w:numFmt w:val="upperRoman"/>
      <w:lvlText w:val="%1."/>
      <w:lvlJc w:val="left"/>
      <w:pPr>
        <w:ind w:left="720" w:hanging="720"/>
      </w:pPr>
      <w:rPr>
        <w:rFonts w:ascii="Times New Roman" w:hAnsi="Times New Roman" w:cs="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72694B"/>
    <w:multiLevelType w:val="hybridMultilevel"/>
    <w:tmpl w:val="850A4C4C"/>
    <w:lvl w:ilvl="0" w:tplc="EF74C87E">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05CEE"/>
    <w:multiLevelType w:val="hybridMultilevel"/>
    <w:tmpl w:val="DBB2FD6E"/>
    <w:lvl w:ilvl="0" w:tplc="F374646C">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C19CD"/>
    <w:multiLevelType w:val="hybridMultilevel"/>
    <w:tmpl w:val="E4EAA2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DB5D4F"/>
    <w:multiLevelType w:val="hybridMultilevel"/>
    <w:tmpl w:val="D6F02D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F08D5"/>
    <w:multiLevelType w:val="hybridMultilevel"/>
    <w:tmpl w:val="29BA1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0B2425"/>
    <w:multiLevelType w:val="hybridMultilevel"/>
    <w:tmpl w:val="AFB41C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CB5833"/>
    <w:multiLevelType w:val="hybridMultilevel"/>
    <w:tmpl w:val="E16A400A"/>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0261C2D"/>
    <w:multiLevelType w:val="hybridMultilevel"/>
    <w:tmpl w:val="23CA566A"/>
    <w:lvl w:ilvl="0" w:tplc="07E2AB92">
      <w:start w:val="1"/>
      <w:numFmt w:val="upperRoman"/>
      <w:lvlText w:val="%1."/>
      <w:lvlJc w:val="left"/>
      <w:pPr>
        <w:ind w:left="720" w:hanging="720"/>
      </w:pPr>
      <w:rPr>
        <w:rFonts w:ascii="Verdana" w:hAnsi="Verdana"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DC57C2"/>
    <w:multiLevelType w:val="hybridMultilevel"/>
    <w:tmpl w:val="C936D1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506937"/>
    <w:multiLevelType w:val="hybridMultilevel"/>
    <w:tmpl w:val="3878A666"/>
    <w:lvl w:ilvl="0" w:tplc="45345D36">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313938"/>
    <w:multiLevelType w:val="hybridMultilevel"/>
    <w:tmpl w:val="D188F2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5226FB"/>
    <w:multiLevelType w:val="hybridMultilevel"/>
    <w:tmpl w:val="F11A2E50"/>
    <w:lvl w:ilvl="0" w:tplc="1D6E5D3E">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020075"/>
    <w:multiLevelType w:val="hybridMultilevel"/>
    <w:tmpl w:val="F446B3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C42CBE"/>
    <w:multiLevelType w:val="hybridMultilevel"/>
    <w:tmpl w:val="C7885E0C"/>
    <w:lvl w:ilvl="0" w:tplc="E8C670E4">
      <w:start w:val="1"/>
      <w:numFmt w:val="upperRoman"/>
      <w:lvlText w:val="%1."/>
      <w:lvlJc w:val="left"/>
      <w:pPr>
        <w:ind w:left="720" w:hanging="720"/>
      </w:pPr>
      <w:rPr>
        <w:rFonts w:ascii="Verdana" w:hAnsi="Verdana"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91E0D68"/>
    <w:multiLevelType w:val="hybridMultilevel"/>
    <w:tmpl w:val="E6DABDBC"/>
    <w:lvl w:ilvl="0" w:tplc="2C2E68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011806"/>
    <w:multiLevelType w:val="hybridMultilevel"/>
    <w:tmpl w:val="B608D3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7636E4"/>
    <w:multiLevelType w:val="hybridMultilevel"/>
    <w:tmpl w:val="2D1024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BA39E4"/>
    <w:multiLevelType w:val="hybridMultilevel"/>
    <w:tmpl w:val="B2A283B6"/>
    <w:lvl w:ilvl="0" w:tplc="7D5CB3E8">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4169D4"/>
    <w:multiLevelType w:val="hybridMultilevel"/>
    <w:tmpl w:val="7056196C"/>
    <w:lvl w:ilvl="0" w:tplc="8CD6668E">
      <w:start w:val="1"/>
      <w:numFmt w:val="upperLetter"/>
      <w:lvlText w:val="%1."/>
      <w:lvlJc w:val="left"/>
      <w:pPr>
        <w:ind w:left="720" w:hanging="360"/>
      </w:pPr>
      <w:rPr>
        <w:rFonts w:ascii="Verdana" w:hAnsi="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3A55DC"/>
    <w:multiLevelType w:val="hybridMultilevel"/>
    <w:tmpl w:val="63BA39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D886F9A"/>
    <w:multiLevelType w:val="hybridMultilevel"/>
    <w:tmpl w:val="8FAE80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C04897"/>
    <w:multiLevelType w:val="hybridMultilevel"/>
    <w:tmpl w:val="50BC9CDE"/>
    <w:lvl w:ilvl="0" w:tplc="74A68EC8">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757BAD"/>
    <w:multiLevelType w:val="hybridMultilevel"/>
    <w:tmpl w:val="F544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8D494F"/>
    <w:multiLevelType w:val="hybridMultilevel"/>
    <w:tmpl w:val="94528EF6"/>
    <w:lvl w:ilvl="0" w:tplc="FDC88AFE">
      <w:start w:val="1"/>
      <w:numFmt w:val="upperRoman"/>
      <w:pStyle w:val="Heading1"/>
      <w:lvlText w:val="%1."/>
      <w:lvlJc w:val="left"/>
      <w:pPr>
        <w:ind w:left="720" w:hanging="720"/>
      </w:pPr>
      <w:rPr>
        <w:rFonts w:ascii="Verdana" w:hAnsi="Verdana"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1163BE"/>
    <w:multiLevelType w:val="hybridMultilevel"/>
    <w:tmpl w:val="D9A2D83E"/>
    <w:lvl w:ilvl="0" w:tplc="74CAE752">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7DE54DC"/>
    <w:multiLevelType w:val="hybridMultilevel"/>
    <w:tmpl w:val="72245E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8610516"/>
    <w:multiLevelType w:val="hybridMultilevel"/>
    <w:tmpl w:val="967235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241623"/>
    <w:multiLevelType w:val="hybridMultilevel"/>
    <w:tmpl w:val="D4BE1F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E1741B"/>
    <w:multiLevelType w:val="hybridMultilevel"/>
    <w:tmpl w:val="E132F220"/>
    <w:lvl w:ilvl="0" w:tplc="E8C670E4">
      <w:start w:val="1"/>
      <w:numFmt w:val="upperRoman"/>
      <w:lvlText w:val="%1."/>
      <w:lvlJc w:val="left"/>
      <w:pPr>
        <w:ind w:left="720" w:hanging="720"/>
      </w:pPr>
      <w:rPr>
        <w:rFonts w:ascii="Verdana" w:hAnsi="Verdana"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D0C5A25"/>
    <w:multiLevelType w:val="hybridMultilevel"/>
    <w:tmpl w:val="8ADC8E62"/>
    <w:lvl w:ilvl="0" w:tplc="E8C670E4">
      <w:start w:val="1"/>
      <w:numFmt w:val="upperRoman"/>
      <w:lvlText w:val="%1."/>
      <w:lvlJc w:val="left"/>
      <w:pPr>
        <w:ind w:left="360" w:hanging="360"/>
      </w:pPr>
      <w:rPr>
        <w:rFonts w:ascii="Verdana" w:hAnsi="Verdana"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F5E550B"/>
    <w:multiLevelType w:val="hybridMultilevel"/>
    <w:tmpl w:val="26C6D14E"/>
    <w:lvl w:ilvl="0" w:tplc="7B1C3F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6465FE6"/>
    <w:multiLevelType w:val="hybridMultilevel"/>
    <w:tmpl w:val="77A6B0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DFA6AB6"/>
    <w:multiLevelType w:val="hybridMultilevel"/>
    <w:tmpl w:val="10500D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E8774C2"/>
    <w:multiLevelType w:val="hybridMultilevel"/>
    <w:tmpl w:val="1CE830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F54439D"/>
    <w:multiLevelType w:val="hybridMultilevel"/>
    <w:tmpl w:val="492A5080"/>
    <w:lvl w:ilvl="0" w:tplc="BE704142">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9B02C6"/>
    <w:multiLevelType w:val="hybridMultilevel"/>
    <w:tmpl w:val="0ADCECA4"/>
    <w:lvl w:ilvl="0" w:tplc="1EA634D2">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A63E6A"/>
    <w:multiLevelType w:val="hybridMultilevel"/>
    <w:tmpl w:val="3AE23AB2"/>
    <w:lvl w:ilvl="0" w:tplc="3BFA4F76">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4D06D3"/>
    <w:multiLevelType w:val="hybridMultilevel"/>
    <w:tmpl w:val="F1DAEC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8E260E"/>
    <w:multiLevelType w:val="hybridMultilevel"/>
    <w:tmpl w:val="2D1024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35"/>
  </w:num>
  <w:num w:numId="3">
    <w:abstractNumId w:val="17"/>
  </w:num>
  <w:num w:numId="4">
    <w:abstractNumId w:val="26"/>
  </w:num>
  <w:num w:numId="5">
    <w:abstractNumId w:val="14"/>
  </w:num>
  <w:num w:numId="6">
    <w:abstractNumId w:val="33"/>
  </w:num>
  <w:num w:numId="7">
    <w:abstractNumId w:val="0"/>
  </w:num>
  <w:num w:numId="8">
    <w:abstractNumId w:val="6"/>
  </w:num>
  <w:num w:numId="9">
    <w:abstractNumId w:val="34"/>
  </w:num>
  <w:num w:numId="10">
    <w:abstractNumId w:val="7"/>
  </w:num>
  <w:num w:numId="11">
    <w:abstractNumId w:val="10"/>
  </w:num>
  <w:num w:numId="12">
    <w:abstractNumId w:val="27"/>
  </w:num>
  <w:num w:numId="13">
    <w:abstractNumId w:val="4"/>
  </w:num>
  <w:num w:numId="14">
    <w:abstractNumId w:val="40"/>
  </w:num>
  <w:num w:numId="15">
    <w:abstractNumId w:val="18"/>
  </w:num>
  <w:num w:numId="16">
    <w:abstractNumId w:val="15"/>
  </w:num>
  <w:num w:numId="17">
    <w:abstractNumId w:val="31"/>
  </w:num>
  <w:num w:numId="18">
    <w:abstractNumId w:val="25"/>
  </w:num>
  <w:num w:numId="19">
    <w:abstractNumId w:val="9"/>
  </w:num>
  <w:num w:numId="20">
    <w:abstractNumId w:val="30"/>
  </w:num>
  <w:num w:numId="21">
    <w:abstractNumId w:val="1"/>
  </w:num>
  <w:num w:numId="22">
    <w:abstractNumId w:val="12"/>
  </w:num>
  <w:num w:numId="23">
    <w:abstractNumId w:val="29"/>
  </w:num>
  <w:num w:numId="24">
    <w:abstractNumId w:val="39"/>
  </w:num>
  <w:num w:numId="25">
    <w:abstractNumId w:val="11"/>
  </w:num>
  <w:num w:numId="26">
    <w:abstractNumId w:val="23"/>
  </w:num>
  <w:num w:numId="27">
    <w:abstractNumId w:val="19"/>
  </w:num>
  <w:num w:numId="28">
    <w:abstractNumId w:val="22"/>
  </w:num>
  <w:num w:numId="29">
    <w:abstractNumId w:val="13"/>
  </w:num>
  <w:num w:numId="30">
    <w:abstractNumId w:val="32"/>
  </w:num>
  <w:num w:numId="31">
    <w:abstractNumId w:val="16"/>
  </w:num>
  <w:num w:numId="32">
    <w:abstractNumId w:val="25"/>
    <w:lvlOverride w:ilvl="0">
      <w:startOverride w:val="1"/>
    </w:lvlOverride>
  </w:num>
  <w:num w:numId="33">
    <w:abstractNumId w:val="20"/>
  </w:num>
  <w:num w:numId="34">
    <w:abstractNumId w:val="24"/>
  </w:num>
  <w:num w:numId="35">
    <w:abstractNumId w:val="5"/>
  </w:num>
  <w:num w:numId="36">
    <w:abstractNumId w:val="36"/>
  </w:num>
  <w:num w:numId="37">
    <w:abstractNumId w:val="8"/>
  </w:num>
  <w:num w:numId="38">
    <w:abstractNumId w:val="37"/>
  </w:num>
  <w:num w:numId="39">
    <w:abstractNumId w:val="2"/>
  </w:num>
  <w:num w:numId="40">
    <w:abstractNumId w:val="38"/>
  </w:num>
  <w:num w:numId="41">
    <w:abstractNumId w:val="28"/>
  </w:num>
  <w:num w:numId="42">
    <w:abstractNumId w:val="3"/>
  </w:num>
  <w:num w:numId="43">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E76FCF"/>
    <w:rsid w:val="000116D5"/>
    <w:rsid w:val="0002393E"/>
    <w:rsid w:val="00026A5E"/>
    <w:rsid w:val="00031CA3"/>
    <w:rsid w:val="00036BBB"/>
    <w:rsid w:val="00050F41"/>
    <w:rsid w:val="000637FF"/>
    <w:rsid w:val="00070A51"/>
    <w:rsid w:val="00072ED6"/>
    <w:rsid w:val="00073B85"/>
    <w:rsid w:val="000811EE"/>
    <w:rsid w:val="00090414"/>
    <w:rsid w:val="00094C91"/>
    <w:rsid w:val="000959A5"/>
    <w:rsid w:val="00095A22"/>
    <w:rsid w:val="000A084F"/>
    <w:rsid w:val="000C1218"/>
    <w:rsid w:val="000C2260"/>
    <w:rsid w:val="000E0D53"/>
    <w:rsid w:val="000E2402"/>
    <w:rsid w:val="000E2CBF"/>
    <w:rsid w:val="000E4197"/>
    <w:rsid w:val="00113FA0"/>
    <w:rsid w:val="001233A4"/>
    <w:rsid w:val="00124BE3"/>
    <w:rsid w:val="00145933"/>
    <w:rsid w:val="0018507D"/>
    <w:rsid w:val="00195EA0"/>
    <w:rsid w:val="001A1B1A"/>
    <w:rsid w:val="001A3F35"/>
    <w:rsid w:val="001A7D97"/>
    <w:rsid w:val="001C0427"/>
    <w:rsid w:val="001C2851"/>
    <w:rsid w:val="001C3489"/>
    <w:rsid w:val="001C63F4"/>
    <w:rsid w:val="001E2DD3"/>
    <w:rsid w:val="001E647F"/>
    <w:rsid w:val="001F0083"/>
    <w:rsid w:val="001F0658"/>
    <w:rsid w:val="002169AA"/>
    <w:rsid w:val="00225322"/>
    <w:rsid w:val="00237A6C"/>
    <w:rsid w:val="00261CE4"/>
    <w:rsid w:val="0026201E"/>
    <w:rsid w:val="00272CA8"/>
    <w:rsid w:val="0027559B"/>
    <w:rsid w:val="00276147"/>
    <w:rsid w:val="00277258"/>
    <w:rsid w:val="002775B7"/>
    <w:rsid w:val="002828DB"/>
    <w:rsid w:val="00290F3C"/>
    <w:rsid w:val="002A46A2"/>
    <w:rsid w:val="002A6F3B"/>
    <w:rsid w:val="002A76DE"/>
    <w:rsid w:val="002D08B1"/>
    <w:rsid w:val="002D3CA5"/>
    <w:rsid w:val="002D3FFB"/>
    <w:rsid w:val="002E09E7"/>
    <w:rsid w:val="002E1E63"/>
    <w:rsid w:val="002E617F"/>
    <w:rsid w:val="002F6005"/>
    <w:rsid w:val="002F6B15"/>
    <w:rsid w:val="00302CBB"/>
    <w:rsid w:val="003156E3"/>
    <w:rsid w:val="00340AA6"/>
    <w:rsid w:val="00341A5D"/>
    <w:rsid w:val="003477A7"/>
    <w:rsid w:val="00366C14"/>
    <w:rsid w:val="00375B26"/>
    <w:rsid w:val="0038215F"/>
    <w:rsid w:val="003C24A5"/>
    <w:rsid w:val="003C390B"/>
    <w:rsid w:val="003D429A"/>
    <w:rsid w:val="003D53D4"/>
    <w:rsid w:val="003D6B4B"/>
    <w:rsid w:val="003E076C"/>
    <w:rsid w:val="003F1DAF"/>
    <w:rsid w:val="00403758"/>
    <w:rsid w:val="004052C4"/>
    <w:rsid w:val="00444542"/>
    <w:rsid w:val="004467EE"/>
    <w:rsid w:val="004627A7"/>
    <w:rsid w:val="004631BE"/>
    <w:rsid w:val="004673D9"/>
    <w:rsid w:val="00475AEB"/>
    <w:rsid w:val="004769B4"/>
    <w:rsid w:val="00476B45"/>
    <w:rsid w:val="00494D3E"/>
    <w:rsid w:val="004A3B34"/>
    <w:rsid w:val="004A5397"/>
    <w:rsid w:val="004A7731"/>
    <w:rsid w:val="004B09BE"/>
    <w:rsid w:val="004E220B"/>
    <w:rsid w:val="004E3CDC"/>
    <w:rsid w:val="005034C4"/>
    <w:rsid w:val="005131EB"/>
    <w:rsid w:val="00516437"/>
    <w:rsid w:val="00523214"/>
    <w:rsid w:val="00523B53"/>
    <w:rsid w:val="005309C7"/>
    <w:rsid w:val="00540C83"/>
    <w:rsid w:val="00540E77"/>
    <w:rsid w:val="00545CD2"/>
    <w:rsid w:val="005713BC"/>
    <w:rsid w:val="00584B4C"/>
    <w:rsid w:val="0058757C"/>
    <w:rsid w:val="00596560"/>
    <w:rsid w:val="005A24C4"/>
    <w:rsid w:val="005A2DF9"/>
    <w:rsid w:val="005E2DF9"/>
    <w:rsid w:val="005E6702"/>
    <w:rsid w:val="00612DEE"/>
    <w:rsid w:val="006174D4"/>
    <w:rsid w:val="00622F87"/>
    <w:rsid w:val="00624434"/>
    <w:rsid w:val="006249A5"/>
    <w:rsid w:val="00657F44"/>
    <w:rsid w:val="00664C4D"/>
    <w:rsid w:val="00680E88"/>
    <w:rsid w:val="00691817"/>
    <w:rsid w:val="00694825"/>
    <w:rsid w:val="00694BF0"/>
    <w:rsid w:val="0069676A"/>
    <w:rsid w:val="006A0336"/>
    <w:rsid w:val="006C576D"/>
    <w:rsid w:val="006E1C85"/>
    <w:rsid w:val="006E2B2A"/>
    <w:rsid w:val="006E4FB9"/>
    <w:rsid w:val="006E58A2"/>
    <w:rsid w:val="006F10F9"/>
    <w:rsid w:val="006F75B7"/>
    <w:rsid w:val="00714107"/>
    <w:rsid w:val="0071473D"/>
    <w:rsid w:val="00733878"/>
    <w:rsid w:val="00733921"/>
    <w:rsid w:val="00737BEB"/>
    <w:rsid w:val="00742A0F"/>
    <w:rsid w:val="00743B6D"/>
    <w:rsid w:val="00744A1D"/>
    <w:rsid w:val="007452F8"/>
    <w:rsid w:val="00750481"/>
    <w:rsid w:val="007838B9"/>
    <w:rsid w:val="00790B40"/>
    <w:rsid w:val="00793160"/>
    <w:rsid w:val="007A30F8"/>
    <w:rsid w:val="007C32F5"/>
    <w:rsid w:val="007C39BB"/>
    <w:rsid w:val="007E26AE"/>
    <w:rsid w:val="008069ED"/>
    <w:rsid w:val="00831E1D"/>
    <w:rsid w:val="00834D5E"/>
    <w:rsid w:val="00842624"/>
    <w:rsid w:val="00852A36"/>
    <w:rsid w:val="00865CB6"/>
    <w:rsid w:val="00880078"/>
    <w:rsid w:val="00885553"/>
    <w:rsid w:val="008C2EBB"/>
    <w:rsid w:val="008E6999"/>
    <w:rsid w:val="008F427D"/>
    <w:rsid w:val="008F5544"/>
    <w:rsid w:val="008F6D98"/>
    <w:rsid w:val="00931998"/>
    <w:rsid w:val="00937EFF"/>
    <w:rsid w:val="00943A85"/>
    <w:rsid w:val="009511FB"/>
    <w:rsid w:val="00962925"/>
    <w:rsid w:val="00963DD2"/>
    <w:rsid w:val="0097231A"/>
    <w:rsid w:val="009B7999"/>
    <w:rsid w:val="009C399C"/>
    <w:rsid w:val="009D4CFE"/>
    <w:rsid w:val="009F2730"/>
    <w:rsid w:val="009F2DCD"/>
    <w:rsid w:val="009F62D0"/>
    <w:rsid w:val="00A001AE"/>
    <w:rsid w:val="00A272DF"/>
    <w:rsid w:val="00A3121F"/>
    <w:rsid w:val="00A3281F"/>
    <w:rsid w:val="00A35CCB"/>
    <w:rsid w:val="00A50F78"/>
    <w:rsid w:val="00A566E0"/>
    <w:rsid w:val="00A91C09"/>
    <w:rsid w:val="00AA232F"/>
    <w:rsid w:val="00AB693F"/>
    <w:rsid w:val="00AC4778"/>
    <w:rsid w:val="00AD2269"/>
    <w:rsid w:val="00AD7F03"/>
    <w:rsid w:val="00AE0DBF"/>
    <w:rsid w:val="00B3421F"/>
    <w:rsid w:val="00B4196B"/>
    <w:rsid w:val="00B65D34"/>
    <w:rsid w:val="00B802E7"/>
    <w:rsid w:val="00B804DE"/>
    <w:rsid w:val="00B95CFB"/>
    <w:rsid w:val="00BA066A"/>
    <w:rsid w:val="00BB1BF0"/>
    <w:rsid w:val="00BB33C9"/>
    <w:rsid w:val="00BC1CC5"/>
    <w:rsid w:val="00BE34ED"/>
    <w:rsid w:val="00BE6C52"/>
    <w:rsid w:val="00C117AE"/>
    <w:rsid w:val="00C2389E"/>
    <w:rsid w:val="00C2706F"/>
    <w:rsid w:val="00C333D4"/>
    <w:rsid w:val="00C3568D"/>
    <w:rsid w:val="00C544C1"/>
    <w:rsid w:val="00C708BA"/>
    <w:rsid w:val="00C744D1"/>
    <w:rsid w:val="00CC6DED"/>
    <w:rsid w:val="00CC767B"/>
    <w:rsid w:val="00CF4056"/>
    <w:rsid w:val="00D02CBB"/>
    <w:rsid w:val="00D35AB5"/>
    <w:rsid w:val="00D424E3"/>
    <w:rsid w:val="00D520CE"/>
    <w:rsid w:val="00D543E1"/>
    <w:rsid w:val="00D55A89"/>
    <w:rsid w:val="00D62853"/>
    <w:rsid w:val="00D66C1D"/>
    <w:rsid w:val="00D80024"/>
    <w:rsid w:val="00D80CA2"/>
    <w:rsid w:val="00D91D97"/>
    <w:rsid w:val="00DB673A"/>
    <w:rsid w:val="00DD17DC"/>
    <w:rsid w:val="00DE23F9"/>
    <w:rsid w:val="00E03F57"/>
    <w:rsid w:val="00E04CF2"/>
    <w:rsid w:val="00E31C41"/>
    <w:rsid w:val="00E378C3"/>
    <w:rsid w:val="00E44D1E"/>
    <w:rsid w:val="00E5477D"/>
    <w:rsid w:val="00E56DB2"/>
    <w:rsid w:val="00E76FCF"/>
    <w:rsid w:val="00E7711A"/>
    <w:rsid w:val="00E86163"/>
    <w:rsid w:val="00EB268C"/>
    <w:rsid w:val="00EC05A7"/>
    <w:rsid w:val="00EC74E5"/>
    <w:rsid w:val="00ED6B54"/>
    <w:rsid w:val="00F0169C"/>
    <w:rsid w:val="00F03889"/>
    <w:rsid w:val="00F22E9D"/>
    <w:rsid w:val="00F25ECE"/>
    <w:rsid w:val="00F30242"/>
    <w:rsid w:val="00F67C66"/>
    <w:rsid w:val="00F71591"/>
    <w:rsid w:val="00F751E6"/>
    <w:rsid w:val="00F920B0"/>
    <w:rsid w:val="00FB0049"/>
    <w:rsid w:val="00FC6566"/>
    <w:rsid w:val="00FD3A85"/>
    <w:rsid w:val="00FD5C6B"/>
    <w:rsid w:val="00FE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3B"/>
    <w:rPr>
      <w:sz w:val="24"/>
      <w:szCs w:val="22"/>
    </w:rPr>
  </w:style>
  <w:style w:type="paragraph" w:styleId="Heading1">
    <w:name w:val="heading 1"/>
    <w:basedOn w:val="Normal"/>
    <w:next w:val="Normal"/>
    <w:link w:val="Heading1Char"/>
    <w:uiPriority w:val="9"/>
    <w:qFormat/>
    <w:rsid w:val="0002393E"/>
    <w:pPr>
      <w:numPr>
        <w:numId w:val="18"/>
      </w:numPr>
      <w:autoSpaceDE w:val="0"/>
      <w:autoSpaceDN w:val="0"/>
      <w:adjustRightInd w:val="0"/>
      <w:outlineLvl w:val="0"/>
    </w:pPr>
    <w:rPr>
      <w:rFonts w:ascii="Verdana" w:hAnsi="Verdana"/>
      <w:b/>
      <w:bCs/>
    </w:rPr>
  </w:style>
  <w:style w:type="paragraph" w:styleId="Heading2">
    <w:name w:val="heading 2"/>
    <w:basedOn w:val="Normal"/>
    <w:next w:val="Normal"/>
    <w:link w:val="Heading2Char"/>
    <w:uiPriority w:val="9"/>
    <w:semiHidden/>
    <w:unhideWhenUsed/>
    <w:qFormat/>
    <w:rsid w:val="0002393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6F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F0083"/>
    <w:rPr>
      <w:sz w:val="20"/>
      <w:szCs w:val="20"/>
    </w:rPr>
  </w:style>
  <w:style w:type="character" w:customStyle="1" w:styleId="FootnoteTextChar">
    <w:name w:val="Footnote Text Char"/>
    <w:basedOn w:val="DefaultParagraphFont"/>
    <w:link w:val="FootnoteText"/>
    <w:uiPriority w:val="99"/>
    <w:semiHidden/>
    <w:rsid w:val="001F0083"/>
  </w:style>
  <w:style w:type="character" w:styleId="FootnoteReference">
    <w:name w:val="footnote reference"/>
    <w:uiPriority w:val="99"/>
    <w:unhideWhenUsed/>
    <w:rsid w:val="001F0083"/>
    <w:rPr>
      <w:vertAlign w:val="superscript"/>
    </w:rPr>
  </w:style>
  <w:style w:type="character" w:styleId="Hyperlink">
    <w:name w:val="Hyperlink"/>
    <w:uiPriority w:val="99"/>
    <w:unhideWhenUsed/>
    <w:rsid w:val="001F0083"/>
    <w:rPr>
      <w:color w:val="0000FF"/>
      <w:u w:val="single"/>
    </w:rPr>
  </w:style>
  <w:style w:type="paragraph" w:styleId="ListParagraph">
    <w:name w:val="List Paragraph"/>
    <w:basedOn w:val="Normal"/>
    <w:uiPriority w:val="34"/>
    <w:qFormat/>
    <w:rsid w:val="007C32F5"/>
    <w:pPr>
      <w:ind w:left="720"/>
      <w:contextualSpacing/>
    </w:pPr>
    <w:rPr>
      <w:szCs w:val="24"/>
    </w:rPr>
  </w:style>
  <w:style w:type="paragraph" w:styleId="Header">
    <w:name w:val="header"/>
    <w:basedOn w:val="Normal"/>
    <w:link w:val="HeaderChar"/>
    <w:uiPriority w:val="99"/>
    <w:unhideWhenUsed/>
    <w:rsid w:val="00EC05A7"/>
    <w:pPr>
      <w:tabs>
        <w:tab w:val="center" w:pos="4680"/>
        <w:tab w:val="right" w:pos="9360"/>
      </w:tabs>
    </w:pPr>
  </w:style>
  <w:style w:type="character" w:customStyle="1" w:styleId="HeaderChar">
    <w:name w:val="Header Char"/>
    <w:link w:val="Header"/>
    <w:uiPriority w:val="99"/>
    <w:rsid w:val="00EC05A7"/>
    <w:rPr>
      <w:sz w:val="24"/>
      <w:szCs w:val="22"/>
    </w:rPr>
  </w:style>
  <w:style w:type="paragraph" w:styleId="Footer">
    <w:name w:val="footer"/>
    <w:basedOn w:val="Normal"/>
    <w:link w:val="FooterChar"/>
    <w:uiPriority w:val="99"/>
    <w:unhideWhenUsed/>
    <w:rsid w:val="00EC05A7"/>
    <w:pPr>
      <w:tabs>
        <w:tab w:val="center" w:pos="4680"/>
        <w:tab w:val="right" w:pos="9360"/>
      </w:tabs>
    </w:pPr>
  </w:style>
  <w:style w:type="character" w:customStyle="1" w:styleId="FooterChar">
    <w:name w:val="Footer Char"/>
    <w:link w:val="Footer"/>
    <w:uiPriority w:val="99"/>
    <w:rsid w:val="00EC05A7"/>
    <w:rPr>
      <w:sz w:val="24"/>
      <w:szCs w:val="22"/>
    </w:rPr>
  </w:style>
  <w:style w:type="paragraph" w:styleId="BalloonText">
    <w:name w:val="Balloon Text"/>
    <w:basedOn w:val="Normal"/>
    <w:link w:val="BalloonTextChar"/>
    <w:uiPriority w:val="99"/>
    <w:semiHidden/>
    <w:unhideWhenUsed/>
    <w:rsid w:val="00EC05A7"/>
    <w:rPr>
      <w:rFonts w:ascii="Tahoma" w:hAnsi="Tahoma"/>
      <w:sz w:val="16"/>
      <w:szCs w:val="16"/>
    </w:rPr>
  </w:style>
  <w:style w:type="character" w:customStyle="1" w:styleId="BalloonTextChar">
    <w:name w:val="Balloon Text Char"/>
    <w:link w:val="BalloonText"/>
    <w:uiPriority w:val="99"/>
    <w:semiHidden/>
    <w:rsid w:val="00EC05A7"/>
    <w:rPr>
      <w:rFonts w:ascii="Tahoma" w:hAnsi="Tahoma" w:cs="Tahoma"/>
      <w:sz w:val="16"/>
      <w:szCs w:val="16"/>
    </w:rPr>
  </w:style>
  <w:style w:type="character" w:styleId="PageNumber">
    <w:name w:val="page number"/>
    <w:uiPriority w:val="99"/>
    <w:rsid w:val="00113FA0"/>
    <w:rPr>
      <w:rFonts w:cs="Times New Roman"/>
      <w:b/>
    </w:rPr>
  </w:style>
  <w:style w:type="paragraph" w:styleId="Revision">
    <w:name w:val="Revision"/>
    <w:hidden/>
    <w:uiPriority w:val="99"/>
    <w:semiHidden/>
    <w:rsid w:val="00C744D1"/>
    <w:rPr>
      <w:sz w:val="24"/>
      <w:szCs w:val="22"/>
    </w:rPr>
  </w:style>
  <w:style w:type="character" w:styleId="CommentReference">
    <w:name w:val="annotation reference"/>
    <w:uiPriority w:val="99"/>
    <w:semiHidden/>
    <w:unhideWhenUsed/>
    <w:rsid w:val="00E03F57"/>
    <w:rPr>
      <w:sz w:val="16"/>
      <w:szCs w:val="16"/>
    </w:rPr>
  </w:style>
  <w:style w:type="paragraph" w:styleId="CommentText">
    <w:name w:val="annotation text"/>
    <w:basedOn w:val="Normal"/>
    <w:link w:val="CommentTextChar"/>
    <w:uiPriority w:val="99"/>
    <w:semiHidden/>
    <w:unhideWhenUsed/>
    <w:rsid w:val="00E03F57"/>
    <w:rPr>
      <w:sz w:val="20"/>
      <w:szCs w:val="20"/>
    </w:rPr>
  </w:style>
  <w:style w:type="character" w:customStyle="1" w:styleId="CommentTextChar">
    <w:name w:val="Comment Text Char"/>
    <w:basedOn w:val="DefaultParagraphFont"/>
    <w:link w:val="CommentText"/>
    <w:uiPriority w:val="99"/>
    <w:semiHidden/>
    <w:rsid w:val="00E03F57"/>
  </w:style>
  <w:style w:type="paragraph" w:styleId="CommentSubject">
    <w:name w:val="annotation subject"/>
    <w:basedOn w:val="CommentText"/>
    <w:next w:val="CommentText"/>
    <w:link w:val="CommentSubjectChar"/>
    <w:uiPriority w:val="99"/>
    <w:semiHidden/>
    <w:unhideWhenUsed/>
    <w:rsid w:val="00E03F57"/>
    <w:rPr>
      <w:b/>
      <w:bCs/>
    </w:rPr>
  </w:style>
  <w:style w:type="character" w:customStyle="1" w:styleId="CommentSubjectChar">
    <w:name w:val="Comment Subject Char"/>
    <w:link w:val="CommentSubject"/>
    <w:uiPriority w:val="99"/>
    <w:semiHidden/>
    <w:rsid w:val="00E03F57"/>
    <w:rPr>
      <w:b/>
      <w:bCs/>
    </w:rPr>
  </w:style>
  <w:style w:type="character" w:customStyle="1" w:styleId="Heading1Char">
    <w:name w:val="Heading 1 Char"/>
    <w:link w:val="Heading1"/>
    <w:uiPriority w:val="9"/>
    <w:rsid w:val="0002393E"/>
    <w:rPr>
      <w:rFonts w:ascii="Verdana" w:hAnsi="Verdana"/>
      <w:b/>
      <w:bCs/>
      <w:sz w:val="24"/>
      <w:szCs w:val="22"/>
    </w:rPr>
  </w:style>
  <w:style w:type="character" w:customStyle="1" w:styleId="Heading2Char">
    <w:name w:val="Heading 2 Char"/>
    <w:link w:val="Heading2"/>
    <w:uiPriority w:val="9"/>
    <w:semiHidden/>
    <w:rsid w:val="0002393E"/>
    <w:rPr>
      <w:rFonts w:ascii="Cambria" w:eastAsia="Times New Roman" w:hAnsi="Cambria" w:cs="Times New Roman"/>
      <w:b/>
      <w:bCs/>
      <w:i/>
      <w:iCs/>
      <w:sz w:val="28"/>
      <w:szCs w:val="28"/>
    </w:rPr>
  </w:style>
  <w:style w:type="paragraph" w:styleId="TOC1">
    <w:name w:val="toc 1"/>
    <w:basedOn w:val="Normal"/>
    <w:next w:val="Normal"/>
    <w:autoRedefine/>
    <w:uiPriority w:val="39"/>
    <w:unhideWhenUsed/>
    <w:qFormat/>
    <w:rsid w:val="0002393E"/>
    <w:pPr>
      <w:tabs>
        <w:tab w:val="left" w:pos="720"/>
        <w:tab w:val="right" w:leader="dot" w:pos="12950"/>
      </w:tabs>
      <w:spacing w:afterLines="240"/>
    </w:pPr>
  </w:style>
  <w:style w:type="paragraph" w:customStyle="1" w:styleId="DOB1">
    <w:name w:val="DOB1"/>
    <w:basedOn w:val="Normal"/>
    <w:qFormat/>
    <w:rsid w:val="00733878"/>
    <w:pPr>
      <w:tabs>
        <w:tab w:val="left" w:pos="7560"/>
      </w:tabs>
      <w:spacing w:after="200"/>
      <w:outlineLvl w:val="0"/>
    </w:pPr>
    <w:rPr>
      <w:rFonts w:ascii="Gill Sans MT" w:eastAsia="Times New Roman" w:hAnsi="Gill Sans MT" w:cs="Arial"/>
      <w:b/>
      <w:sz w:val="20"/>
      <w:szCs w:val="20"/>
    </w:rPr>
  </w:style>
  <w:style w:type="paragraph" w:customStyle="1" w:styleId="DOB2">
    <w:name w:val="DOB2"/>
    <w:basedOn w:val="Normal"/>
    <w:qFormat/>
    <w:rsid w:val="00733878"/>
    <w:pPr>
      <w:tabs>
        <w:tab w:val="left" w:pos="7560"/>
      </w:tabs>
      <w:spacing w:after="200"/>
      <w:outlineLvl w:val="0"/>
    </w:pPr>
    <w:rPr>
      <w:rFonts w:ascii="Gill Sans MT" w:hAnsi="Gill Sans MT"/>
      <w:b/>
      <w:sz w:val="20"/>
      <w:szCs w:val="20"/>
    </w:rPr>
  </w:style>
  <w:style w:type="paragraph" w:styleId="TOCHeading">
    <w:name w:val="TOC Heading"/>
    <w:basedOn w:val="Heading1"/>
    <w:next w:val="Normal"/>
    <w:uiPriority w:val="39"/>
    <w:semiHidden/>
    <w:unhideWhenUsed/>
    <w:qFormat/>
    <w:rsid w:val="007C39BB"/>
    <w:pPr>
      <w:keepNext/>
      <w:keepLines/>
      <w:numPr>
        <w:numId w:val="0"/>
      </w:numPr>
      <w:autoSpaceDE/>
      <w:autoSpaceDN/>
      <w:adjustRightInd/>
      <w:spacing w:before="480" w:line="276" w:lineRule="auto"/>
      <w:outlineLvl w:val="9"/>
    </w:pPr>
    <w:rPr>
      <w:rFonts w:ascii="Cambria" w:eastAsia="Times New Roman" w:hAnsi="Cambria"/>
      <w:color w:val="365F91"/>
      <w:sz w:val="28"/>
      <w:szCs w:val="28"/>
    </w:rPr>
  </w:style>
  <w:style w:type="paragraph" w:styleId="TOC2">
    <w:name w:val="toc 2"/>
    <w:basedOn w:val="Normal"/>
    <w:next w:val="Normal"/>
    <w:autoRedefine/>
    <w:uiPriority w:val="39"/>
    <w:semiHidden/>
    <w:unhideWhenUsed/>
    <w:qFormat/>
    <w:rsid w:val="007C39BB"/>
    <w:pPr>
      <w:spacing w:after="100" w:line="276" w:lineRule="auto"/>
      <w:ind w:left="220"/>
    </w:pPr>
    <w:rPr>
      <w:rFonts w:ascii="Calibri" w:eastAsia="Times New Roman" w:hAnsi="Calibri"/>
      <w:sz w:val="22"/>
    </w:rPr>
  </w:style>
  <w:style w:type="paragraph" w:styleId="TOC3">
    <w:name w:val="toc 3"/>
    <w:basedOn w:val="Normal"/>
    <w:next w:val="Normal"/>
    <w:autoRedefine/>
    <w:uiPriority w:val="39"/>
    <w:semiHidden/>
    <w:unhideWhenUsed/>
    <w:qFormat/>
    <w:rsid w:val="007C39BB"/>
    <w:pPr>
      <w:spacing w:after="100" w:line="276" w:lineRule="auto"/>
      <w:ind w:left="440"/>
    </w:pPr>
    <w:rPr>
      <w:rFonts w:ascii="Calibri" w:eastAsia="Times New Roman"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02393E"/>
    <w:pPr>
      <w:numPr>
        <w:numId w:val="18"/>
      </w:numPr>
      <w:autoSpaceDE w:val="0"/>
      <w:autoSpaceDN w:val="0"/>
      <w:adjustRightInd w:val="0"/>
      <w:outlineLvl w:val="0"/>
    </w:pPr>
    <w:rPr>
      <w:rFonts w:ascii="Verdana" w:hAnsi="Verdana"/>
      <w:b/>
      <w:bCs/>
    </w:rPr>
  </w:style>
  <w:style w:type="paragraph" w:styleId="Heading2">
    <w:name w:val="heading 2"/>
    <w:basedOn w:val="Normal"/>
    <w:next w:val="Normal"/>
    <w:link w:val="Heading2Char"/>
    <w:uiPriority w:val="9"/>
    <w:semiHidden/>
    <w:unhideWhenUsed/>
    <w:qFormat/>
    <w:rsid w:val="0002393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6F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F0083"/>
    <w:rPr>
      <w:sz w:val="20"/>
      <w:szCs w:val="20"/>
    </w:rPr>
  </w:style>
  <w:style w:type="character" w:customStyle="1" w:styleId="FootnoteTextChar">
    <w:name w:val="Footnote Text Char"/>
    <w:basedOn w:val="DefaultParagraphFont"/>
    <w:link w:val="FootnoteText"/>
    <w:uiPriority w:val="99"/>
    <w:semiHidden/>
    <w:rsid w:val="001F0083"/>
  </w:style>
  <w:style w:type="character" w:styleId="FootnoteReference">
    <w:name w:val="footnote reference"/>
    <w:uiPriority w:val="99"/>
    <w:unhideWhenUsed/>
    <w:rsid w:val="001F0083"/>
    <w:rPr>
      <w:vertAlign w:val="superscript"/>
    </w:rPr>
  </w:style>
  <w:style w:type="character" w:styleId="Hyperlink">
    <w:name w:val="Hyperlink"/>
    <w:uiPriority w:val="99"/>
    <w:unhideWhenUsed/>
    <w:rsid w:val="001F0083"/>
    <w:rPr>
      <w:color w:val="0000FF"/>
      <w:u w:val="single"/>
    </w:rPr>
  </w:style>
  <w:style w:type="paragraph" w:styleId="ListParagraph">
    <w:name w:val="List Paragraph"/>
    <w:basedOn w:val="Normal"/>
    <w:uiPriority w:val="34"/>
    <w:qFormat/>
    <w:rsid w:val="007C32F5"/>
    <w:pPr>
      <w:ind w:left="720"/>
      <w:contextualSpacing/>
    </w:pPr>
    <w:rPr>
      <w:szCs w:val="24"/>
    </w:rPr>
  </w:style>
  <w:style w:type="paragraph" w:styleId="Header">
    <w:name w:val="header"/>
    <w:basedOn w:val="Normal"/>
    <w:link w:val="HeaderChar"/>
    <w:uiPriority w:val="99"/>
    <w:unhideWhenUsed/>
    <w:rsid w:val="00EC05A7"/>
    <w:pPr>
      <w:tabs>
        <w:tab w:val="center" w:pos="4680"/>
        <w:tab w:val="right" w:pos="9360"/>
      </w:tabs>
    </w:pPr>
  </w:style>
  <w:style w:type="character" w:customStyle="1" w:styleId="HeaderChar">
    <w:name w:val="Header Char"/>
    <w:link w:val="Header"/>
    <w:uiPriority w:val="99"/>
    <w:rsid w:val="00EC05A7"/>
    <w:rPr>
      <w:sz w:val="24"/>
      <w:szCs w:val="22"/>
    </w:rPr>
  </w:style>
  <w:style w:type="paragraph" w:styleId="Footer">
    <w:name w:val="footer"/>
    <w:basedOn w:val="Normal"/>
    <w:link w:val="FooterChar"/>
    <w:uiPriority w:val="99"/>
    <w:unhideWhenUsed/>
    <w:rsid w:val="00EC05A7"/>
    <w:pPr>
      <w:tabs>
        <w:tab w:val="center" w:pos="4680"/>
        <w:tab w:val="right" w:pos="9360"/>
      </w:tabs>
    </w:pPr>
  </w:style>
  <w:style w:type="character" w:customStyle="1" w:styleId="FooterChar">
    <w:name w:val="Footer Char"/>
    <w:link w:val="Footer"/>
    <w:uiPriority w:val="99"/>
    <w:rsid w:val="00EC05A7"/>
    <w:rPr>
      <w:sz w:val="24"/>
      <w:szCs w:val="22"/>
    </w:rPr>
  </w:style>
  <w:style w:type="paragraph" w:styleId="BalloonText">
    <w:name w:val="Balloon Text"/>
    <w:basedOn w:val="Normal"/>
    <w:link w:val="BalloonTextChar"/>
    <w:uiPriority w:val="99"/>
    <w:semiHidden/>
    <w:unhideWhenUsed/>
    <w:rsid w:val="00EC05A7"/>
    <w:rPr>
      <w:rFonts w:ascii="Tahoma" w:hAnsi="Tahoma"/>
      <w:sz w:val="16"/>
      <w:szCs w:val="16"/>
    </w:rPr>
  </w:style>
  <w:style w:type="character" w:customStyle="1" w:styleId="BalloonTextChar">
    <w:name w:val="Balloon Text Char"/>
    <w:link w:val="BalloonText"/>
    <w:uiPriority w:val="99"/>
    <w:semiHidden/>
    <w:rsid w:val="00EC05A7"/>
    <w:rPr>
      <w:rFonts w:ascii="Tahoma" w:hAnsi="Tahoma" w:cs="Tahoma"/>
      <w:sz w:val="16"/>
      <w:szCs w:val="16"/>
    </w:rPr>
  </w:style>
  <w:style w:type="character" w:styleId="PageNumber">
    <w:name w:val="page number"/>
    <w:uiPriority w:val="99"/>
    <w:rsid w:val="00113FA0"/>
    <w:rPr>
      <w:rFonts w:cs="Times New Roman"/>
      <w:b/>
    </w:rPr>
  </w:style>
  <w:style w:type="paragraph" w:styleId="Revision">
    <w:name w:val="Revision"/>
    <w:hidden/>
    <w:uiPriority w:val="99"/>
    <w:semiHidden/>
    <w:rsid w:val="00C744D1"/>
    <w:rPr>
      <w:sz w:val="24"/>
      <w:szCs w:val="22"/>
    </w:rPr>
  </w:style>
  <w:style w:type="character" w:styleId="CommentReference">
    <w:name w:val="annotation reference"/>
    <w:uiPriority w:val="99"/>
    <w:semiHidden/>
    <w:unhideWhenUsed/>
    <w:rsid w:val="00E03F57"/>
    <w:rPr>
      <w:sz w:val="16"/>
      <w:szCs w:val="16"/>
    </w:rPr>
  </w:style>
  <w:style w:type="paragraph" w:styleId="CommentText">
    <w:name w:val="annotation text"/>
    <w:basedOn w:val="Normal"/>
    <w:link w:val="CommentTextChar"/>
    <w:uiPriority w:val="99"/>
    <w:semiHidden/>
    <w:unhideWhenUsed/>
    <w:rsid w:val="00E03F57"/>
    <w:rPr>
      <w:sz w:val="20"/>
      <w:szCs w:val="20"/>
    </w:rPr>
  </w:style>
  <w:style w:type="character" w:customStyle="1" w:styleId="CommentTextChar">
    <w:name w:val="Comment Text Char"/>
    <w:basedOn w:val="DefaultParagraphFont"/>
    <w:link w:val="CommentText"/>
    <w:uiPriority w:val="99"/>
    <w:semiHidden/>
    <w:rsid w:val="00E03F57"/>
  </w:style>
  <w:style w:type="paragraph" w:styleId="CommentSubject">
    <w:name w:val="annotation subject"/>
    <w:basedOn w:val="CommentText"/>
    <w:next w:val="CommentText"/>
    <w:link w:val="CommentSubjectChar"/>
    <w:uiPriority w:val="99"/>
    <w:semiHidden/>
    <w:unhideWhenUsed/>
    <w:rsid w:val="00E03F57"/>
    <w:rPr>
      <w:b/>
      <w:bCs/>
    </w:rPr>
  </w:style>
  <w:style w:type="character" w:customStyle="1" w:styleId="CommentSubjectChar">
    <w:name w:val="Comment Subject Char"/>
    <w:link w:val="CommentSubject"/>
    <w:uiPriority w:val="99"/>
    <w:semiHidden/>
    <w:rsid w:val="00E03F57"/>
    <w:rPr>
      <w:b/>
      <w:bCs/>
    </w:rPr>
  </w:style>
  <w:style w:type="character" w:customStyle="1" w:styleId="Heading1Char">
    <w:name w:val="Heading 1 Char"/>
    <w:link w:val="Heading1"/>
    <w:uiPriority w:val="9"/>
    <w:rsid w:val="0002393E"/>
    <w:rPr>
      <w:rFonts w:ascii="Verdana" w:hAnsi="Verdana"/>
      <w:b/>
      <w:bCs/>
      <w:sz w:val="24"/>
      <w:szCs w:val="22"/>
    </w:rPr>
  </w:style>
  <w:style w:type="character" w:customStyle="1" w:styleId="Heading2Char">
    <w:name w:val="Heading 2 Char"/>
    <w:link w:val="Heading2"/>
    <w:uiPriority w:val="9"/>
    <w:semiHidden/>
    <w:rsid w:val="0002393E"/>
    <w:rPr>
      <w:rFonts w:ascii="Cambria" w:eastAsia="Times New Roman" w:hAnsi="Cambria" w:cs="Times New Roman"/>
      <w:b/>
      <w:bCs/>
      <w:i/>
      <w:iCs/>
      <w:sz w:val="28"/>
      <w:szCs w:val="28"/>
    </w:rPr>
  </w:style>
  <w:style w:type="paragraph" w:styleId="TOC1">
    <w:name w:val="toc 1"/>
    <w:basedOn w:val="Normal"/>
    <w:next w:val="Normal"/>
    <w:autoRedefine/>
    <w:uiPriority w:val="39"/>
    <w:unhideWhenUsed/>
    <w:qFormat/>
    <w:rsid w:val="0002393E"/>
    <w:pPr>
      <w:tabs>
        <w:tab w:val="left" w:pos="720"/>
        <w:tab w:val="right" w:leader="dot" w:pos="12950"/>
      </w:tabs>
      <w:spacing w:afterLines="240"/>
    </w:pPr>
  </w:style>
  <w:style w:type="paragraph" w:customStyle="1" w:styleId="DOB1">
    <w:name w:val="DOB1"/>
    <w:basedOn w:val="Normal"/>
    <w:qFormat/>
    <w:rsid w:val="00733878"/>
    <w:pPr>
      <w:tabs>
        <w:tab w:val="left" w:pos="7560"/>
      </w:tabs>
      <w:spacing w:after="200"/>
      <w:outlineLvl w:val="0"/>
    </w:pPr>
    <w:rPr>
      <w:rFonts w:ascii="Gill Sans MT" w:eastAsia="Times New Roman" w:hAnsi="Gill Sans MT" w:cs="Arial"/>
      <w:b/>
      <w:sz w:val="20"/>
      <w:szCs w:val="20"/>
    </w:rPr>
  </w:style>
  <w:style w:type="paragraph" w:customStyle="1" w:styleId="DOB2">
    <w:name w:val="DOB2"/>
    <w:basedOn w:val="Normal"/>
    <w:qFormat/>
    <w:rsid w:val="00733878"/>
    <w:pPr>
      <w:tabs>
        <w:tab w:val="left" w:pos="7560"/>
      </w:tabs>
      <w:spacing w:after="200"/>
      <w:outlineLvl w:val="0"/>
    </w:pPr>
    <w:rPr>
      <w:rFonts w:ascii="Gill Sans MT" w:hAnsi="Gill Sans MT"/>
      <w:b/>
      <w:sz w:val="20"/>
      <w:szCs w:val="20"/>
    </w:rPr>
  </w:style>
  <w:style w:type="paragraph" w:styleId="TOCHeading">
    <w:name w:val="TOC Heading"/>
    <w:basedOn w:val="Heading1"/>
    <w:next w:val="Normal"/>
    <w:uiPriority w:val="39"/>
    <w:semiHidden/>
    <w:unhideWhenUsed/>
    <w:qFormat/>
    <w:rsid w:val="007C39BB"/>
    <w:pPr>
      <w:keepNext/>
      <w:keepLines/>
      <w:numPr>
        <w:numId w:val="0"/>
      </w:numPr>
      <w:autoSpaceDE/>
      <w:autoSpaceDN/>
      <w:adjustRightInd/>
      <w:spacing w:before="480" w:line="276" w:lineRule="auto"/>
      <w:outlineLvl w:val="9"/>
    </w:pPr>
    <w:rPr>
      <w:rFonts w:ascii="Cambria" w:eastAsia="Times New Roman" w:hAnsi="Cambria"/>
      <w:color w:val="365F91"/>
      <w:sz w:val="28"/>
      <w:szCs w:val="28"/>
    </w:rPr>
  </w:style>
  <w:style w:type="paragraph" w:styleId="TOC2">
    <w:name w:val="toc 2"/>
    <w:basedOn w:val="Normal"/>
    <w:next w:val="Normal"/>
    <w:autoRedefine/>
    <w:uiPriority w:val="39"/>
    <w:semiHidden/>
    <w:unhideWhenUsed/>
    <w:qFormat/>
    <w:rsid w:val="007C39BB"/>
    <w:pPr>
      <w:spacing w:after="100" w:line="276" w:lineRule="auto"/>
      <w:ind w:left="220"/>
    </w:pPr>
    <w:rPr>
      <w:rFonts w:ascii="Calibri" w:eastAsia="Times New Roman" w:hAnsi="Calibri"/>
      <w:sz w:val="22"/>
    </w:rPr>
  </w:style>
  <w:style w:type="paragraph" w:styleId="TOC3">
    <w:name w:val="toc 3"/>
    <w:basedOn w:val="Normal"/>
    <w:next w:val="Normal"/>
    <w:autoRedefine/>
    <w:uiPriority w:val="39"/>
    <w:semiHidden/>
    <w:unhideWhenUsed/>
    <w:qFormat/>
    <w:rsid w:val="007C39BB"/>
    <w:pPr>
      <w:spacing w:after="100" w:line="276" w:lineRule="auto"/>
      <w:ind w:left="440"/>
    </w:pPr>
    <w:rPr>
      <w:rFonts w:ascii="Calibri" w:eastAsia="Times New Roman"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21092">
      <w:bodyDiv w:val="1"/>
      <w:marLeft w:val="0"/>
      <w:marRight w:val="0"/>
      <w:marTop w:val="0"/>
      <w:marBottom w:val="0"/>
      <w:divBdr>
        <w:top w:val="none" w:sz="0" w:space="0" w:color="auto"/>
        <w:left w:val="none" w:sz="0" w:space="0" w:color="auto"/>
        <w:bottom w:val="none" w:sz="0" w:space="0" w:color="auto"/>
        <w:right w:val="none" w:sz="0" w:space="0" w:color="auto"/>
      </w:divBdr>
    </w:div>
    <w:div w:id="1268999083">
      <w:bodyDiv w:val="1"/>
      <w:marLeft w:val="0"/>
      <w:marRight w:val="0"/>
      <w:marTop w:val="0"/>
      <w:marBottom w:val="0"/>
      <w:divBdr>
        <w:top w:val="none" w:sz="0" w:space="0" w:color="auto"/>
        <w:left w:val="none" w:sz="0" w:space="0" w:color="auto"/>
        <w:bottom w:val="none" w:sz="0" w:space="0" w:color="auto"/>
        <w:right w:val="none" w:sz="0" w:space="0" w:color="auto"/>
      </w:divBdr>
    </w:div>
    <w:div w:id="209612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AD7DF87B3CA14CB66C9A1699C4C418" ma:contentTypeVersion="0" ma:contentTypeDescription="Create a new document." ma:contentTypeScope="" ma:versionID="39cd354f8c2783be49d899a50c4e60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76839-B9E9-4ED7-BE4C-0A1AAA129B8F}">
  <ds:schemaRefs>
    <ds:schemaRef ds:uri="http://schemas.microsoft.com/sharepoint/v3/contenttype/forms"/>
  </ds:schemaRefs>
</ds:datastoreItem>
</file>

<file path=customXml/itemProps2.xml><?xml version="1.0" encoding="utf-8"?>
<ds:datastoreItem xmlns:ds="http://schemas.openxmlformats.org/officeDocument/2006/customXml" ds:itemID="{CF6B38F6-3C79-4469-A8B9-C45F1AD226E8}">
  <ds:schemaRefs>
    <ds:schemaRef ds:uri="http://purl.org/dc/dcmitype/"/>
    <ds:schemaRef ds:uri="http://purl.org/dc/elements/1.1/"/>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BFE5FD07-63B8-4061-9732-32FD43EBA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8E94939-298F-43F4-9F47-7A2648C82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3846</CharactersWithSpaces>
  <SharedDoc>false</SharedDoc>
  <HLinks>
    <vt:vector size="42" baseType="variant">
      <vt:variant>
        <vt:i4>1376304</vt:i4>
      </vt:variant>
      <vt:variant>
        <vt:i4>50</vt:i4>
      </vt:variant>
      <vt:variant>
        <vt:i4>0</vt:i4>
      </vt:variant>
      <vt:variant>
        <vt:i4>5</vt:i4>
      </vt:variant>
      <vt:variant>
        <vt:lpwstr/>
      </vt:variant>
      <vt:variant>
        <vt:lpwstr>_Toc322683957</vt:lpwstr>
      </vt:variant>
      <vt:variant>
        <vt:i4>1376304</vt:i4>
      </vt:variant>
      <vt:variant>
        <vt:i4>44</vt:i4>
      </vt:variant>
      <vt:variant>
        <vt:i4>0</vt:i4>
      </vt:variant>
      <vt:variant>
        <vt:i4>5</vt:i4>
      </vt:variant>
      <vt:variant>
        <vt:lpwstr/>
      </vt:variant>
      <vt:variant>
        <vt:lpwstr>_Toc322683956</vt:lpwstr>
      </vt:variant>
      <vt:variant>
        <vt:i4>1376304</vt:i4>
      </vt:variant>
      <vt:variant>
        <vt:i4>38</vt:i4>
      </vt:variant>
      <vt:variant>
        <vt:i4>0</vt:i4>
      </vt:variant>
      <vt:variant>
        <vt:i4>5</vt:i4>
      </vt:variant>
      <vt:variant>
        <vt:lpwstr/>
      </vt:variant>
      <vt:variant>
        <vt:lpwstr>_Toc322683954</vt:lpwstr>
      </vt:variant>
      <vt:variant>
        <vt:i4>1376304</vt:i4>
      </vt:variant>
      <vt:variant>
        <vt:i4>32</vt:i4>
      </vt:variant>
      <vt:variant>
        <vt:i4>0</vt:i4>
      </vt:variant>
      <vt:variant>
        <vt:i4>5</vt:i4>
      </vt:variant>
      <vt:variant>
        <vt:lpwstr/>
      </vt:variant>
      <vt:variant>
        <vt:lpwstr>_Toc322683954</vt:lpwstr>
      </vt:variant>
      <vt:variant>
        <vt:i4>1376304</vt:i4>
      </vt:variant>
      <vt:variant>
        <vt:i4>26</vt:i4>
      </vt:variant>
      <vt:variant>
        <vt:i4>0</vt:i4>
      </vt:variant>
      <vt:variant>
        <vt:i4>5</vt:i4>
      </vt:variant>
      <vt:variant>
        <vt:lpwstr/>
      </vt:variant>
      <vt:variant>
        <vt:lpwstr>_Toc322683954</vt:lpwstr>
      </vt:variant>
      <vt:variant>
        <vt:i4>1376304</vt:i4>
      </vt:variant>
      <vt:variant>
        <vt:i4>20</vt:i4>
      </vt:variant>
      <vt:variant>
        <vt:i4>0</vt:i4>
      </vt:variant>
      <vt:variant>
        <vt:i4>5</vt:i4>
      </vt:variant>
      <vt:variant>
        <vt:lpwstr/>
      </vt:variant>
      <vt:variant>
        <vt:lpwstr>_Toc322683954</vt:lpwstr>
      </vt:variant>
      <vt:variant>
        <vt:i4>1376304</vt:i4>
      </vt:variant>
      <vt:variant>
        <vt:i4>14</vt:i4>
      </vt:variant>
      <vt:variant>
        <vt:i4>0</vt:i4>
      </vt:variant>
      <vt:variant>
        <vt:i4>5</vt:i4>
      </vt:variant>
      <vt:variant>
        <vt:lpwstr/>
      </vt:variant>
      <vt:variant>
        <vt:lpwstr>_Toc322683952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Conley</dc:creator>
  <cp:lastModifiedBy>Sailer, Sheryl T.</cp:lastModifiedBy>
  <cp:revision>2</cp:revision>
  <cp:lastPrinted>2015-09-04T16:23:00Z</cp:lastPrinted>
  <dcterms:created xsi:type="dcterms:W3CDTF">2016-02-25T16:29:00Z</dcterms:created>
  <dcterms:modified xsi:type="dcterms:W3CDTF">2016-02-25T16:29:00Z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0x010100B1AD7DF87B3CA14CB66C9A1699C4C418</vt:lpwstr>
  </property>
</Properties>
</file>